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9"/>
        <w:rPr>
          <w:rFonts w:ascii="XO Thames" w:hAnsi="XO Thames" w:cs="XO Thames"/>
        </w:rPr>
      </w:pPr>
      <w:r>
        <w:rPr>
          <w:rFonts w:ascii="XO Thames" w:hAnsi="XO Thames" w:cs="XO Thames"/>
        </w:rPr>
        <w:object w:dxaOrig="0" w:dyaOrig="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0" o:spid="_x0000_s0" type="#_x0000_t75" style="width:45.00pt;height:58.50pt;mso-wrap-distance-left:0.00pt;mso-wrap-distance-top:0.00pt;mso-wrap-distance-right:0.00pt;mso-wrap-distance-bottom:0.00pt;" filled="f" stroked="f">
            <v:path textboxrect="0,0,0,0"/>
            <v:imagedata r:id="rId9" o:title=""/>
          </v:shape>
          <o:OLEObject DrawAspect="Content" r:id="rId10" ObjectID="_1525040" ProgID="CorelDraw.Graphic.9" ShapeID="_x0000_i0" Type="Embed"/>
        </w:object>
      </w:r>
      <w:r>
        <w:rPr>
          <w:rFonts w:ascii="XO Thames" w:hAnsi="XO Thames" w:cs="XO Thames"/>
        </w:rPr>
      </w:r>
      <w:r>
        <w:rPr>
          <w:rFonts w:ascii="XO Thames" w:hAnsi="XO Thames" w:cs="XO Thames"/>
        </w:rPr>
      </w:r>
    </w:p>
    <w:p>
      <w:pPr>
        <w:pStyle w:val="861"/>
        <w:jc w:val="center"/>
        <w:rPr>
          <w:rFonts w:ascii="XO Thames" w:hAnsi="XO Thames" w:cs="XO Thames"/>
        </w:rPr>
      </w:pPr>
      <w:r>
        <w:rPr>
          <w:rFonts w:ascii="XO Thames" w:hAnsi="XO Thames" w:cs="XO Thames"/>
        </w:rPr>
      </w:r>
      <w:r>
        <w:rPr>
          <w:rFonts w:ascii="XO Thames" w:hAnsi="XO Thames" w:cs="XO Thames"/>
        </w:rPr>
      </w:r>
      <w:r>
        <w:rPr>
          <w:rFonts w:ascii="XO Thames" w:hAnsi="XO Thames" w:cs="XO Thames"/>
        </w:rPr>
      </w:r>
    </w:p>
    <w:p>
      <w:pPr>
        <w:pStyle w:val="861"/>
        <w:jc w:val="center"/>
      </w:pPr>
      <w:r>
        <w:rPr>
          <w:b/>
          <w:sz w:val="32"/>
          <w:szCs w:val="32"/>
        </w:rPr>
        <w:t xml:space="preserve">АДМИНИСТРАЦИЯ ГОРОДА НИЖНЕВАРТОВСКА</w:t>
      </w:r>
      <w:r>
        <w:rPr>
          <w:b/>
          <w:sz w:val="32"/>
          <w:szCs w:val="32"/>
        </w:rPr>
      </w:r>
      <w:r/>
    </w:p>
    <w:p>
      <w:pPr>
        <w:pStyle w:val="861"/>
        <w:jc w:val="center"/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/>
    </w:p>
    <w:p>
      <w:pPr>
        <w:pStyle w:val="861"/>
        <w:jc w:val="center"/>
        <w:rPr>
          <w:bCs/>
          <w:sz w:val="16"/>
          <w:szCs w:val="16"/>
        </w:rPr>
      </w:pPr>
      <w:r>
        <w:rPr>
          <w:b/>
          <w:caps/>
        </w:rPr>
      </w:r>
      <w:r>
        <w:rPr>
          <w:rFonts w:eastAsia="Calibri" w:cs="Times New Roman" w:eastAsiaTheme="minorHAnsi"/>
          <w:b/>
          <w:color w:val="auto"/>
          <w:sz w:val="40"/>
          <w:szCs w:val="40"/>
          <w:lang w:val="ru-RU" w:eastAsia="en-US" w:bidi="ar-SA"/>
        </w:rPr>
        <w:t xml:space="preserve">ДЕПАРТАМЕНТ СТРОИТЕЛЬСТВА</w:t>
      </w:r>
      <w:r>
        <w:rPr>
          <w:bCs/>
          <w:sz w:val="16"/>
          <w:szCs w:val="16"/>
        </w:rPr>
      </w:r>
      <w:r>
        <w:rPr>
          <w:bCs/>
          <w:sz w:val="16"/>
          <w:szCs w:val="16"/>
        </w:rPr>
      </w:r>
    </w:p>
    <w:p>
      <w:pPr>
        <w:pStyle w:val="861"/>
        <w:jc w:val="center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</w:r>
      <w:r>
        <w:rPr>
          <w:rFonts w:ascii="Times New Roman" w:hAnsi="Times New Roman" w:cs="Times New Roman"/>
          <w:sz w:val="16"/>
        </w:rPr>
      </w:r>
      <w:r>
        <w:rPr>
          <w:rFonts w:ascii="Times New Roman" w:hAnsi="Times New Roman" w:cs="Times New Roman"/>
          <w:sz w:val="16"/>
        </w:rPr>
      </w:r>
    </w:p>
    <w:p>
      <w:pPr>
        <w:pStyle w:val="861"/>
        <w:jc w:val="center"/>
        <w:rPr>
          <w:rFonts w:ascii="Times New Roman" w:hAnsi="Times New Roman" w:cs="Times New Roman"/>
          <w:bCs/>
          <w:sz w:val="16"/>
        </w:rPr>
      </w:pPr>
      <w:r>
        <w:rPr>
          <w:rFonts w:ascii="Times New Roman" w:hAnsi="Times New Roman" w:cs="Times New Roman"/>
          <w:bCs/>
          <w:sz w:val="16"/>
        </w:rPr>
        <w:t xml:space="preserve">ул. Таежная, 24, г. Нижневартовск, Ханты-Мансийский автономный округ - Югра, 628602</w:t>
      </w:r>
      <w:r>
        <w:rPr>
          <w:rFonts w:ascii="Times New Roman" w:hAnsi="Times New Roman" w:cs="Times New Roman"/>
          <w:bCs/>
          <w:sz w:val="16"/>
        </w:rPr>
      </w:r>
      <w:r>
        <w:rPr>
          <w:rFonts w:ascii="Times New Roman" w:hAnsi="Times New Roman" w:cs="Times New Roman"/>
          <w:bCs/>
          <w:sz w:val="16"/>
        </w:rPr>
      </w:r>
    </w:p>
    <w:p>
      <w:pPr>
        <w:pStyle w:val="861"/>
        <w:jc w:val="center"/>
        <w:rPr>
          <w:rFonts w:ascii="Times New Roman" w:hAnsi="Times New Roman" w:cs="Times New Roman"/>
          <w:b/>
          <w:bCs/>
          <w:sz w:val="16"/>
        </w:rPr>
      </w:pPr>
      <w:r>
        <w:rPr>
          <w:rFonts w:ascii="Times New Roman" w:hAnsi="Times New Roman" w:cs="Times New Roman"/>
          <w:bCs/>
          <w:sz w:val="16"/>
        </w:rPr>
        <w:t xml:space="preserve">Телефон: (3466) 24-12-20, тел./факс: (3466) 24-18-83, электронная почта: </w:t>
      </w:r>
      <w:r>
        <w:rPr>
          <w:rFonts w:ascii="Times New Roman" w:hAnsi="Times New Roman" w:cs="Times New Roman"/>
          <w:sz w:val="16"/>
          <w:lang w:val="en-US"/>
        </w:rPr>
      </w:r>
      <w:hyperlink r:id="rId11" w:tooltip="mailto:ds@n-vartovsk.ru" w:history="1">
        <w:r>
          <w:rPr>
            <w:rFonts w:eastAsia="Calibri" w:cs="Times New Roman" w:eastAsiaTheme="minorHAnsi"/>
            <w:color w:val="auto"/>
            <w:sz w:val="16"/>
            <w:szCs w:val="16"/>
            <w:u w:val="single"/>
            <w:lang w:val="ru-RU" w:eastAsia="en-US" w:bidi="ar-SA"/>
          </w:rPr>
          <w:t xml:space="preserve">ds@n-vartovsk.ru</w:t>
        </w:r>
      </w:hyperlink>
      <w:r>
        <w:rPr>
          <w:rFonts w:ascii="Times New Roman" w:hAnsi="Times New Roman" w:cs="Times New Roman"/>
          <w:b/>
          <w:bCs/>
          <w:sz w:val="16"/>
        </w:rPr>
      </w:r>
      <w:r>
        <w:rPr>
          <w:rFonts w:ascii="Times New Roman" w:hAnsi="Times New Roman" w:cs="Times New Roman"/>
          <w:b/>
          <w:bCs/>
          <w:sz w:val="16"/>
        </w:rPr>
      </w:r>
    </w:p>
    <w:p>
      <w:pPr>
        <w:pStyle w:val="861"/>
        <w:rPr>
          <w:rFonts w:ascii="XO Thames" w:hAnsi="XO Thames" w:cs="XO Thames"/>
          <w:sz w:val="20"/>
        </w:rPr>
        <w:pBdr>
          <w:top w:val="single" w:color="000000" w:sz="24" w:space="1"/>
        </w:pBdr>
      </w:pPr>
      <w:r>
        <w:rPr>
          <w:rFonts w:ascii="XO Thames" w:hAnsi="XO Thames" w:cs="XO Thames"/>
          <w:sz w:val="20"/>
        </w:rPr>
      </w:r>
      <w:r>
        <w:rPr>
          <w:rFonts w:ascii="XO Thames" w:hAnsi="XO Thames" w:cs="XO Thames"/>
          <w:sz w:val="20"/>
        </w:rPr>
      </w:r>
      <w:r>
        <w:rPr>
          <w:rFonts w:ascii="XO Thames" w:hAnsi="XO Thames" w:cs="XO Thames"/>
          <w:sz w:val="20"/>
        </w:rPr>
      </w:r>
    </w:p>
    <w:p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931"/>
        <w:jc w:val="center"/>
        <w:rPr>
          <w:rFonts w:ascii="Times New Roman" w:hAnsi="Times New Roman" w:cs="Times New Roman"/>
          <w:color w:val="00206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ПОЯСНИТЕЛЬНАЯ ЗАПИСКА</w:t>
      </w:r>
      <w:r>
        <w:rPr>
          <w:rFonts w:ascii="Times New Roman" w:hAnsi="Times New Roman" w:cs="Times New Roman"/>
          <w:color w:val="002060" w:themeColor="text1"/>
          <w:sz w:val="28"/>
          <w:szCs w:val="28"/>
        </w:rPr>
      </w:r>
      <w:r>
        <w:rPr>
          <w:rFonts w:ascii="Times New Roman" w:hAnsi="Times New Roman" w:cs="Times New Roman"/>
          <w:color w:val="002060" w:themeColor="text1"/>
          <w:sz w:val="28"/>
          <w:szCs w:val="28"/>
        </w:rPr>
      </w:r>
    </w:p>
    <w:p>
      <w:pPr>
        <w:pStyle w:val="931"/>
        <w:jc w:val="center"/>
        <w:rPr>
          <w:rFonts w:ascii="Times New Roman" w:hAnsi="Times New Roman" w:eastAsia="Calibri" w:cs="Courier New"/>
          <w:color w:val="00206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проекту постановления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города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Calibri" w:cs="Courier New"/>
          <w:color w:val="002060" w:themeColor="text1"/>
          <w:sz w:val="28"/>
          <w:szCs w:val="28"/>
        </w:rPr>
      </w:r>
      <w:r>
        <w:rPr>
          <w:rFonts w:ascii="Times New Roman" w:hAnsi="Times New Roman" w:eastAsia="Calibri" w:cs="Courier New"/>
          <w:color w:val="002060" w:themeColor="text1"/>
          <w:sz w:val="28"/>
          <w:szCs w:val="28"/>
        </w:rPr>
      </w:r>
    </w:p>
    <w:p>
      <w:pPr>
        <w:pStyle w:val="931"/>
        <w:jc w:val="center"/>
        <w:rPr>
          <w:rFonts w:ascii="Times New Roman" w:hAnsi="Times New Roman" w:eastAsia="Times New Roman" w:cs="Times New Roman"/>
          <w:color w:val="00206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 w:eastAsia="ru-RU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О внесении изменений в постановление администрации города </w:t>
      </w:r>
      <w:r>
        <w:rPr>
          <w:rFonts w:ascii="Times New Roman" w:hAnsi="Times New Roman" w:eastAsia="Times New Roman" w:cs="Times New Roman"/>
          <w:color w:val="00206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2060" w:themeColor="text1"/>
          <w:sz w:val="28"/>
          <w:szCs w:val="28"/>
        </w:rPr>
      </w:r>
    </w:p>
    <w:p>
      <w:pPr>
        <w:pStyle w:val="931"/>
        <w:jc w:val="center"/>
        <w:rPr>
          <w:rFonts w:ascii="Times New Roman" w:hAnsi="Times New Roman" w:cs="Times New Roman"/>
          <w:color w:val="00206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от 28.02.2023 №159 "Об утверждении условий и порядка заключения соглашений о защите и поощрении капиталовложений"</w:t>
      </w:r>
      <w:r>
        <w:rPr>
          <w:rFonts w:ascii="Times New Roman" w:hAnsi="Times New Roman" w:cs="Times New Roman"/>
          <w:color w:val="002060" w:themeColor="text1"/>
          <w:sz w:val="28"/>
          <w:szCs w:val="28"/>
        </w:rPr>
      </w:r>
      <w:r>
        <w:rPr>
          <w:rFonts w:ascii="Times New Roman" w:hAnsi="Times New Roman" w:cs="Times New Roman"/>
          <w:color w:val="002060" w:themeColor="text1"/>
          <w:sz w:val="28"/>
          <w:szCs w:val="28"/>
        </w:rPr>
      </w:r>
    </w:p>
    <w:p>
      <w:pPr>
        <w:pStyle w:val="931"/>
        <w:jc w:val="center"/>
        <w:rPr>
          <w:rFonts w:ascii="Times New Roman" w:hAnsi="Times New Roman" w:cs="Times New Roman"/>
          <w:color w:val="00206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2060" w:themeColor="text1"/>
          <w:sz w:val="28"/>
          <w:szCs w:val="28"/>
        </w:rPr>
      </w:r>
      <w:r>
        <w:rPr>
          <w:rFonts w:ascii="Times New Roman" w:hAnsi="Times New Roman" w:cs="Times New Roman"/>
          <w:color w:val="002060" w:themeColor="text1"/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206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роект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города </w:t>
      </w:r>
      <w:r>
        <w:rPr>
          <w:rFonts w:ascii="Times New Roman" w:hAnsi="Times New Roman" w:eastAsia="Calibri" w:cs="Courier New"/>
          <w:color w:val="000000" w:themeColor="text1"/>
          <w:sz w:val="28"/>
          <w:szCs w:val="28"/>
          <w:lang w:val="ru-RU" w:eastAsia="ru-RU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О внесении изменений в постановление администрации города от 28.02.2023 №159 "Об утверждении условий и порядка заключения соглашений о защите и поощрении капиталовложений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" (далее – проект)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разработан департаментом строительства администрации города Нижневартовска в связи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нормативные правовые акты Российской Федерации 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Ханты-Мансийского автономного округа - Югры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регламентирующие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порядок заключения федерального и регионального соглашения о защите и поощрении капиталовложений (далее – Соглашение)</w:t>
      </w:r>
      <w:r>
        <w:rPr>
          <w:rStyle w:val="859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footnoteReference w:id="2"/>
      </w:r>
      <w:r>
        <w:rPr>
          <w:rStyle w:val="859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206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2060" w:themeColor="text1"/>
          <w:sz w:val="24"/>
          <w:szCs w:val="24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206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Проектом вносится ряд изменений в утвержденный порядок заключения Соглашений, в том числе:</w:t>
      </w:r>
      <w:r>
        <w:rPr>
          <w:rFonts w:ascii="Times New Roman" w:hAnsi="Times New Roman" w:eastAsia="Times New Roman" w:cs="Times New Roman"/>
          <w:color w:val="00206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2060" w:themeColor="text1"/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206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уточняется перечень документов, которые должны быть представлены российским юридическим лицом для получения согласия муниципального образования город Нижневартовск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на заключение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(присоединение)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Соглашение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и на выполнение обязательств, возникающих у муниципального образования в связи с участием в Соглашении, в том числе обязательств по применению в отношении заяв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ителя актов (решений) муниципального образования с учетом особенностей, предусмотренных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  <w:lang w:val="ru-RU"/>
        </w:rPr>
        <w:t xml:space="preserve">статьей 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 Федерального закона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от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01.04.2020 №69-ФЗ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"О защите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и поощрении капиталовложений в Российской Федерации"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(далее – Федеральный закон)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 и законодательством о налогах и сборах, а также обязательств по возмещению затрат, указанных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  <w:lang w:val="ru-RU"/>
        </w:rPr>
        <w:t xml:space="preserve">части 1 статьи 15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 Федерального закона, в пределах земельного налога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(если муниципальное образование согласно принять обязательства по возмещению таких затрат);</w:t>
      </w:r>
      <w:r>
        <w:rPr>
          <w:rFonts w:ascii="Times New Roman" w:hAnsi="Times New Roman" w:eastAsia="Times New Roman" w:cs="Times New Roman"/>
          <w:color w:val="00206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2060" w:themeColor="text1"/>
          <w:sz w:val="24"/>
          <w:szCs w:val="24"/>
          <w:highlight w:val="none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206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- утверждается в новой редакции форма заявления о предоставлении Согласия;</w:t>
      </w:r>
      <w:r>
        <w:rPr>
          <w:rFonts w:ascii="Times New Roman" w:hAnsi="Times New Roman" w:eastAsia="Times New Roman" w:cs="Times New Roman"/>
          <w:color w:val="00206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206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206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- предусмотрено получение сведений 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наличии в инвестиционной программе регулируемой организации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объектов обеспечивающей и (или) сопутствующей инфраструктур, необходимых для реализации инвестиционного проекта,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случае если заявителем представлен перечень объектов обеспечивающей и (или) сопутствующей инфраструктуры, затраты на создание (строительство), модернизацию и (или) реконструкцию которых инвестор планирует возместить в соответствии со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статьей 15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Федерального закона из местного бюджета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206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2060" w:themeColor="text1"/>
          <w:sz w:val="28"/>
          <w:szCs w:val="28"/>
          <w:highlight w:val="white"/>
        </w:rPr>
      </w:r>
    </w:p>
    <w:p>
      <w:pPr>
        <w:pStyle w:val="931"/>
        <w:ind w:left="0" w:right="0" w:firstLine="709"/>
        <w:jc w:val="both"/>
        <w:rPr>
          <w:rFonts w:ascii="Times New Roman" w:hAnsi="Times New Roman" w:eastAsia="Times New Roman" w:cs="Times New Roman"/>
          <w:color w:val="00206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Принятие проекта постановления не потребует признания утратившими силу, приостановления, изменения или принятия иных нормативных правовых актов.</w:t>
      </w:r>
      <w:r>
        <w:rPr>
          <w:rFonts w:ascii="Times New Roman" w:hAnsi="Times New Roman" w:eastAsia="Times New Roman" w:cs="Times New Roman"/>
          <w:color w:val="00206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2060" w:themeColor="text1"/>
          <w:sz w:val="28"/>
          <w:szCs w:val="28"/>
          <w:highlight w:val="none"/>
        </w:rPr>
      </w:r>
    </w:p>
    <w:p>
      <w:pPr>
        <w:pStyle w:val="931"/>
        <w:ind w:left="0" w:right="0" w:firstLine="709"/>
        <w:jc w:val="both"/>
        <w:rPr>
          <w:rFonts w:ascii="Times New Roman" w:hAnsi="Times New Roman" w:cs="Times New Roman"/>
          <w:color w:val="002060" w:themeColor="text1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Принятие проекта постановления не потребует дополнительных расходов из бюджета города Нижневартовска.</w:t>
      </w:r>
      <w:r>
        <w:rPr>
          <w:rFonts w:ascii="Times New Roman" w:hAnsi="Times New Roman" w:cs="Times New Roman"/>
          <w:color w:val="00206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2060" w:themeColor="text1"/>
          <w:sz w:val="28"/>
          <w:szCs w:val="28"/>
          <w:highlight w:val="none"/>
          <w14:ligatures w14:val="none"/>
        </w:rPr>
      </w:r>
    </w:p>
    <w:p>
      <w:pPr>
        <w:pStyle w:val="931"/>
        <w:ind w:left="0" w:right="0" w:firstLine="709"/>
        <w:jc w:val="both"/>
        <w:rPr>
          <w:rFonts w:ascii="Times New Roman" w:hAnsi="Times New Roman" w:eastAsia="Times New Roman" w:cs="Times New Roman"/>
          <w:color w:val="00206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Нарушения антимонопольного законодательства в проекте отсутствуют.</w:t>
      </w:r>
      <w:r>
        <w:rPr>
          <w:rFonts w:ascii="Times New Roman" w:hAnsi="Times New Roman" w:eastAsia="Times New Roman" w:cs="Times New Roman"/>
          <w:color w:val="00206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2060" w:themeColor="text1"/>
          <w:sz w:val="28"/>
          <w:szCs w:val="28"/>
          <w:highlight w:val="none"/>
        </w:rPr>
      </w:r>
    </w:p>
    <w:p>
      <w:pPr>
        <w:pStyle w:val="931"/>
        <w:ind w:left="0" w:right="-141" w:firstLine="709"/>
        <w:jc w:val="both"/>
        <w:rPr>
          <w:rFonts w:ascii="Times New Roman" w:hAnsi="Times New Roman" w:cs="Times New Roman"/>
          <w:color w:val="00206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2060" w:themeColor="text1"/>
          <w:sz w:val="28"/>
          <w:szCs w:val="28"/>
        </w:rPr>
      </w:r>
      <w:r>
        <w:rPr>
          <w:rFonts w:ascii="Times New Roman" w:hAnsi="Times New Roman" w:cs="Times New Roman"/>
          <w:color w:val="002060" w:themeColor="text1"/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left="0" w:right="0" w:firstLine="540"/>
        <w:jc w:val="both"/>
        <w:spacing w:before="0" w:after="0" w:line="288" w:lineRule="atLeast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</w:r>
      <w:r>
        <w:rPr>
          <w:rFonts w:ascii="Times New Roman" w:hAnsi="Times New Roman" w:eastAsia="Times New Roman" w:cs="Times New Roman"/>
          <w:color w:val="000000"/>
          <w:sz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tbl>
      <w:tblPr>
        <w:tblW w:w="9750" w:type="dxa"/>
        <w:tblInd w:w="0" w:type="dxa"/>
        <w:tblLayout w:type="fixed"/>
        <w:tblCellMar>
          <w:left w:w="57" w:type="dxa"/>
          <w:top w:w="0" w:type="dxa"/>
          <w:right w:w="57" w:type="dxa"/>
          <w:bottom w:w="0" w:type="dxa"/>
        </w:tblCellMar>
        <w:tblLook w:val="04A0" w:firstRow="1" w:lastRow="0" w:firstColumn="1" w:lastColumn="0" w:noHBand="0" w:noVBand="1"/>
      </w:tblPr>
      <w:tblGrid>
        <w:gridCol w:w="3436"/>
        <w:gridCol w:w="3917"/>
        <w:gridCol w:w="2397"/>
      </w:tblGrid>
      <w:tr>
        <w:tblPrEx/>
        <w:trPr>
          <w:trHeight w:val="1443"/>
        </w:trPr>
        <w:tc>
          <w:tcPr>
            <w:shd w:val="clear" w:color="auto" w:fill="auto"/>
            <w:tcW w:w="3436" w:type="dxa"/>
            <w:textDirection w:val="lrTb"/>
            <w:noWrap w:val="false"/>
          </w:tcPr>
          <w:p>
            <w:pPr>
              <w:pStyle w:val="861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2" behindDoc="0" locked="0" layoutInCell="1" allowOverlap="1">
                      <wp:simplePos x="0" y="0"/>
                      <wp:positionH relativeFrom="column">
                        <wp:posOffset>2130765</wp:posOffset>
                      </wp:positionH>
                      <wp:positionV relativeFrom="paragraph">
                        <wp:posOffset>3742</wp:posOffset>
                      </wp:positionV>
                      <wp:extent cx="2495550" cy="916372"/>
                      <wp:effectExtent l="6300" t="6300" r="6300" b="6300"/>
                      <wp:wrapNone/>
                      <wp:docPr id="2" name="Скругленный 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flipH="0" flipV="0">
                                <a:off x="0" y="0"/>
                                <a:ext cx="2495549" cy="916371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600">
                                <a:solidFill>
                                  <a:srgbClr val="A6A6A6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1" o:spid="_x0000_s1" o:spt="2" type="#_x0000_t2" style="position:absolute;z-index:2;o:allowoverlap:true;o:allowincell:true;mso-position-horizontal-relative:text;margin-left:167.78pt;mso-position-horizontal:absolute;mso-position-vertical-relative:text;margin-top:0.29pt;mso-position-vertical:absolute;width:196.50pt;height:72.16pt;mso-wrap-distance-left:0.00pt;mso-wrap-distance-top:0.00pt;mso-wrap-distance-right:0.00pt;mso-wrap-distance-bottom:0.00pt;visibility:visible;" filled="f" strokecolor="#A6A6A6" strokeweight="0.99pt"/>
                  </w:pict>
                </mc:Fallback>
              </mc:AlternateContent>
            </w:r>
            <w:bookmarkStart w:id="3" w:name="EdsBorder"/>
            <w:r>
              <w:rPr>
                <w:rFonts w:ascii="Times New Roman" w:hAnsi="Times New Roman" w:cs="Times New Roman"/>
                <w:sz w:val="28"/>
                <w:szCs w:val="28"/>
              </w:rPr>
            </w:r>
            <w:bookmarkEnd w:id="3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департамента, начальник управления инвестиций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3917" w:type="dxa"/>
            <w:vAlign w:val="center"/>
            <w:textDirection w:val="lrTb"/>
            <w:noWrap w:val="false"/>
          </w:tcPr>
          <w:p>
            <w:pPr>
              <w:pStyle w:val="931"/>
              <w:jc w:val="center"/>
              <w:widowControl w:val="off"/>
              <w:rPr>
                <w:rFonts w:ascii="XO Thames" w:hAnsi="XO Thames" w:cs="XO Thames"/>
                <w:b/>
                <w:color w:val="808080"/>
                <w:sz w:val="20"/>
                <w:szCs w:val="20"/>
              </w:rPr>
            </w:pPr>
            <w:r>
              <w:rPr>
                <w:rFonts w:ascii="XO Thames" w:hAnsi="XO Thames" w:cs="XO Thames"/>
                <w:b/>
                <w:color w:val="808080"/>
                <w:sz w:val="20"/>
                <w:szCs w:val="20"/>
              </w:rPr>
              <w:t xml:space="preserve">ДОКУМЕНТ ПОДПИСАН</w:t>
            </w:r>
            <w:r>
              <w:rPr>
                <w:rFonts w:ascii="XO Thames" w:hAnsi="XO Thames" w:cs="XO Thames"/>
                <w:b/>
                <w:color w:val="808080"/>
                <w:sz w:val="20"/>
                <w:szCs w:val="20"/>
              </w:rPr>
            </w:r>
            <w:r>
              <w:rPr>
                <w:rFonts w:ascii="XO Thames" w:hAnsi="XO Thames" w:cs="XO Thames"/>
                <w:b/>
                <w:color w:val="808080"/>
                <w:sz w:val="20"/>
                <w:szCs w:val="20"/>
              </w:rPr>
            </w:r>
          </w:p>
          <w:p>
            <w:pPr>
              <w:pStyle w:val="931"/>
              <w:jc w:val="center"/>
              <w:widowControl w:val="off"/>
              <w:rPr>
                <w:rFonts w:ascii="XO Thames" w:hAnsi="XO Thames" w:cs="XO Thames"/>
                <w:b/>
                <w:color w:val="808080"/>
                <w:sz w:val="20"/>
                <w:szCs w:val="20"/>
              </w:rPr>
            </w:pPr>
            <w:r>
              <w:rPr>
                <w:rFonts w:ascii="XO Thames" w:hAnsi="XO Thames" w:cs="XO Thames"/>
                <w:b/>
                <w:color w:val="808080"/>
                <w:sz w:val="20"/>
                <w:szCs w:val="20"/>
              </w:rPr>
              <w:t xml:space="preserve">ЭЛЕКТРОННОЙ ПОДПИСЬЮ</w:t>
            </w:r>
            <w:r>
              <w:rPr>
                <w:rFonts w:ascii="XO Thames" w:hAnsi="XO Thames" w:cs="XO Thames"/>
                <w:b/>
                <w:color w:val="808080"/>
                <w:sz w:val="20"/>
                <w:szCs w:val="20"/>
              </w:rPr>
            </w:r>
            <w:r>
              <w:rPr>
                <w:rFonts w:ascii="XO Thames" w:hAnsi="XO Thames" w:cs="XO Thames"/>
                <w:b/>
                <w:color w:val="808080"/>
                <w:sz w:val="20"/>
                <w:szCs w:val="20"/>
              </w:rPr>
            </w:r>
          </w:p>
          <w:p>
            <w:pPr>
              <w:pStyle w:val="861"/>
              <w:widowControl w:val="off"/>
              <w:rPr>
                <w:rFonts w:ascii="XO Thames" w:hAnsi="XO Thames" w:cs="XO Thames"/>
                <w:color w:val="808080"/>
                <w:sz w:val="8"/>
                <w:szCs w:val="8"/>
              </w:rPr>
            </w:pPr>
            <w:r>
              <w:rPr>
                <w:rFonts w:ascii="XO Thames" w:hAnsi="XO Thames" w:cs="XO Thames"/>
                <w:color w:val="808080"/>
                <w:sz w:val="8"/>
                <w:szCs w:val="8"/>
              </w:rPr>
            </w:r>
            <w:r>
              <w:rPr>
                <w:rFonts w:ascii="XO Thames" w:hAnsi="XO Thames" w:cs="XO Thames"/>
                <w:color w:val="808080"/>
                <w:sz w:val="8"/>
                <w:szCs w:val="8"/>
              </w:rPr>
            </w:r>
            <w:r>
              <w:rPr>
                <w:rFonts w:ascii="XO Thames" w:hAnsi="XO Thames" w:cs="XO Thames"/>
                <w:color w:val="808080"/>
                <w:sz w:val="8"/>
                <w:szCs w:val="8"/>
              </w:rPr>
            </w:r>
          </w:p>
          <w:p>
            <w:pPr>
              <w:pStyle w:val="861"/>
              <w:widowControl w:val="off"/>
              <w:rPr>
                <w:rFonts w:ascii="XO Thames" w:hAnsi="XO Thames" w:cs="XO Thames"/>
                <w:color w:val="808080"/>
                <w:sz w:val="18"/>
                <w:szCs w:val="18"/>
              </w:rPr>
            </w:pPr>
            <w:r>
              <w:rPr>
                <w:rFonts w:ascii="XO Thames" w:hAnsi="XO Thames" w:cs="XO Thames"/>
                <w:color w:val="808080"/>
                <w:sz w:val="18"/>
                <w:szCs w:val="18"/>
              </w:rPr>
              <w:t xml:space="preserve">Сертификат  [Номер сертификата 1]</w:t>
            </w:r>
            <w:r>
              <w:rPr>
                <w:rFonts w:ascii="XO Thames" w:hAnsi="XO Thames" w:cs="XO Thames"/>
                <w:color w:val="808080"/>
                <w:sz w:val="18"/>
                <w:szCs w:val="18"/>
              </w:rPr>
            </w:r>
            <w:r>
              <w:rPr>
                <w:rFonts w:ascii="XO Thames" w:hAnsi="XO Thames" w:cs="XO Thames"/>
                <w:color w:val="808080"/>
                <w:sz w:val="18"/>
                <w:szCs w:val="18"/>
              </w:rPr>
            </w:r>
          </w:p>
          <w:p>
            <w:pPr>
              <w:pStyle w:val="861"/>
              <w:widowControl w:val="off"/>
              <w:rPr>
                <w:rFonts w:ascii="XO Thames" w:hAnsi="XO Thames" w:cs="XO Thames"/>
                <w:color w:val="808080"/>
                <w:sz w:val="18"/>
                <w:szCs w:val="18"/>
              </w:rPr>
            </w:pPr>
            <w:r>
              <w:rPr>
                <w:rFonts w:ascii="XO Thames" w:hAnsi="XO Thames" w:cs="XO Thames"/>
                <w:color w:val="808080"/>
                <w:sz w:val="18"/>
                <w:szCs w:val="18"/>
              </w:rPr>
              <w:t xml:space="preserve">Владелец [Владелец сертификата 1]</w:t>
            </w:r>
            <w:r>
              <w:rPr>
                <w:rFonts w:ascii="XO Thames" w:hAnsi="XO Thames" w:cs="XO Thames"/>
                <w:color w:val="808080"/>
                <w:sz w:val="18"/>
                <w:szCs w:val="18"/>
              </w:rPr>
            </w:r>
            <w:r>
              <w:rPr>
                <w:rFonts w:ascii="XO Thames" w:hAnsi="XO Thames" w:cs="XO Thames"/>
                <w:color w:val="808080"/>
                <w:sz w:val="18"/>
                <w:szCs w:val="18"/>
              </w:rPr>
            </w:r>
          </w:p>
          <w:p>
            <w:pPr>
              <w:pStyle w:val="931"/>
              <w:widowControl w:val="off"/>
              <w:rPr>
                <w:rFonts w:ascii="XO Thames" w:hAnsi="XO Thames" w:cs="XO Thames"/>
                <w:sz w:val="10"/>
                <w:szCs w:val="10"/>
              </w:rPr>
            </w:pPr>
            <w:r>
              <w:rPr>
                <w:rFonts w:ascii="XO Thames" w:hAnsi="XO Thames" w:cs="XO Thames"/>
              </w:rPr>
            </w:r>
            <w:bookmarkStart w:id="4" w:name="EdsText"/>
            <w:r>
              <w:rPr>
                <w:rFonts w:ascii="XO Thames" w:hAnsi="XO Thames" w:cs="XO Thames"/>
                <w:color w:val="808080"/>
                <w:sz w:val="18"/>
                <w:szCs w:val="18"/>
              </w:rPr>
              <w:t xml:space="preserve">Действителен [ДатаС 1] с по [ДатаПо 1]</w:t>
            </w:r>
            <w:bookmarkEnd w:id="4"/>
            <w:r>
              <w:rPr>
                <w:rFonts w:ascii="XO Thames" w:hAnsi="XO Thames" w:cs="XO Thames"/>
                <w:sz w:val="10"/>
                <w:szCs w:val="10"/>
              </w:rPr>
            </w:r>
            <w:r>
              <w:rPr>
                <w:rFonts w:ascii="XO Thames" w:hAnsi="XO Thames" w:cs="XO Thames"/>
                <w:sz w:val="10"/>
                <w:szCs w:val="10"/>
              </w:rPr>
            </w:r>
          </w:p>
        </w:tc>
        <w:tc>
          <w:tcPr>
            <w:shd w:val="clear" w:color="auto" w:fill="auto"/>
            <w:tcW w:w="2397" w:type="dxa"/>
            <w:textDirection w:val="lrTb"/>
            <w:noWrap w:val="false"/>
          </w:tcPr>
          <w:p>
            <w:pPr>
              <w:jc w:val="right"/>
              <w:widowControl w:val="off"/>
              <w:rPr>
                <w:rFonts w:ascii="XO Thames" w:hAnsi="XO Thames" w:cs="XO Thames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XO Thames" w:hAnsi="XO Thames" w:cs="XO Thames"/>
                <w:sz w:val="28"/>
                <w:szCs w:val="28"/>
              </w:rPr>
            </w:r>
            <w:r>
              <w:rPr>
                <w:rFonts w:ascii="XO Thames" w:hAnsi="XO Thames" w:cs="XO Thames"/>
                <w:sz w:val="28"/>
                <w:szCs w:val="28"/>
              </w:rPr>
            </w:r>
          </w:p>
          <w:p>
            <w:pPr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861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Г.С. Юшко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rPr>
          <w:rFonts w:ascii="XO Thames" w:hAnsi="XO Thames" w:cs="XO Thames"/>
          <w:sz w:val="16"/>
          <w:szCs w:val="16"/>
        </w:rPr>
      </w:pPr>
      <w:r>
        <w:rPr>
          <w:rFonts w:ascii="XO Thames" w:hAnsi="XO Thames" w:cs="XO Thames"/>
          <w:sz w:val="16"/>
          <w:szCs w:val="16"/>
        </w:rPr>
      </w:r>
      <w:r>
        <w:rPr>
          <w:rFonts w:ascii="XO Thames" w:hAnsi="XO Thames" w:cs="XO Thames"/>
          <w:sz w:val="16"/>
          <w:szCs w:val="16"/>
        </w:rPr>
      </w:r>
      <w:r>
        <w:rPr>
          <w:rFonts w:ascii="XO Thames" w:hAnsi="XO Thames" w:cs="XO Thames"/>
          <w:sz w:val="16"/>
          <w:szCs w:val="16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pStyle w:val="861"/>
      </w:pPr>
      <w:r>
        <w:rPr>
          <w:rFonts w:ascii="Times New Roman" w:hAnsi="Times New Roman" w:eastAsia="Calibri" w:cs="Times New Roman"/>
          <w:sz w:val="16"/>
          <w:szCs w:val="16"/>
        </w:rPr>
        <w:t xml:space="preserve">Исполнитель:</w:t>
      </w:r>
      <w:r/>
    </w:p>
    <w:p>
      <w:pPr>
        <w:pStyle w:val="861"/>
      </w:pPr>
      <w:r>
        <w:rPr>
          <w:rFonts w:ascii="Times New Roman" w:hAnsi="Times New Roman" w:eastAsia="Calibri" w:cs="Times New Roman"/>
          <w:sz w:val="16"/>
          <w:szCs w:val="16"/>
        </w:rPr>
        <w:t xml:space="preserve">начальник отдела развития инвестиционной </w:t>
      </w:r>
      <w:r/>
    </w:p>
    <w:p>
      <w:pPr>
        <w:pStyle w:val="861"/>
      </w:pPr>
      <w:r>
        <w:rPr>
          <w:rFonts w:ascii="Times New Roman" w:hAnsi="Times New Roman" w:eastAsia="Calibri" w:cs="Times New Roman"/>
          <w:sz w:val="16"/>
          <w:szCs w:val="16"/>
        </w:rPr>
        <w:t xml:space="preserve">деятельности управления инвестиций департамента </w:t>
      </w:r>
      <w:r/>
    </w:p>
    <w:p>
      <w:pPr>
        <w:pStyle w:val="861"/>
      </w:pPr>
      <w:r>
        <w:rPr>
          <w:rFonts w:ascii="Times New Roman" w:hAnsi="Times New Roman" w:eastAsia="Calibri" w:cs="Times New Roman"/>
          <w:sz w:val="16"/>
          <w:szCs w:val="16"/>
        </w:rPr>
        <w:t xml:space="preserve">строительства администрации города Нижневартовска</w:t>
      </w:r>
      <w:r/>
    </w:p>
    <w:p>
      <w:r>
        <w:rPr>
          <w:rFonts w:ascii="Times New Roman" w:hAnsi="Times New Roman" w:eastAsia="Calibri" w:cs="Times New Roman"/>
          <w:sz w:val="16"/>
          <w:szCs w:val="16"/>
        </w:rPr>
        <w:t xml:space="preserve">Квасова Анна Георгиевна</w:t>
      </w:r>
      <w:r/>
    </w:p>
    <w:p>
      <w:pPr>
        <w:pStyle w:val="861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16"/>
          <w:szCs w:val="16"/>
        </w:rPr>
      </w:r>
      <w:bookmarkStart w:id="0" w:name="undefined"/>
      <w:r>
        <w:rPr>
          <w:rFonts w:ascii="Times New Roman" w:hAnsi="Times New Roman" w:eastAsia="Calibri" w:cs="Times New Roman"/>
          <w:sz w:val="16"/>
          <w:szCs w:val="16"/>
        </w:rPr>
        <w:t xml:space="preserve">тел.: (3466) </w:t>
      </w:r>
      <w:bookmarkEnd w:id="0"/>
      <w:r>
        <w:rPr>
          <w:rFonts w:ascii="Times New Roman" w:hAnsi="Times New Roman" w:eastAsia="Calibri" w:cs="Times New Roman"/>
          <w:sz w:val="16"/>
          <w:szCs w:val="16"/>
        </w:rPr>
        <w:t xml:space="preserve">29-12-25 (доб. 28666)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sectPr>
      <w:footnotePr/>
      <w:endnotePr/>
      <w:type w:val="continuous"/>
      <w:pgSz w:w="11906" w:h="16838" w:orient="portrait"/>
      <w:pgMar w:top="992" w:right="567" w:bottom="680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panose1 w:val="02020603050405020304"/>
  </w:font>
  <w:font w:name="Symbol">
    <w:panose1 w:val="05010000000000000000"/>
  </w:font>
  <w:font w:name="Courier New">
    <w:panose1 w:val="02070309020205020404"/>
  </w:font>
  <w:font w:name="Droid Sans Fallback">
    <w:panose1 w:val="020B0502000000000001"/>
  </w:font>
  <w:font w:name="Droid Sans Devanagari">
    <w:panose1 w:val="020B0606030804020204"/>
  </w:font>
  <w:font w:name="Wingdings">
    <w:panose1 w:val="05010000000000000000"/>
  </w:font>
  <w:font w:name="Liberation Sans">
    <w:panose1 w:val="020B0604020202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913"/>
        <w:jc w:val="both"/>
        <w:rPr>
          <w:rFonts w:ascii="Times New Roman" w:hAnsi="Times New Roman" w:cs="Times New Roman"/>
          <w:color w:val="002060" w:themeColor="text1"/>
          <w:sz w:val="18"/>
          <w:szCs w:val="18"/>
          <w:highlight w:val="none"/>
        </w:rPr>
      </w:pPr>
      <w:r>
        <w:rPr>
          <w:rStyle w:val="859"/>
        </w:rPr>
        <w:footnoteRef/>
      </w:r>
      <w:r>
        <w:rPr>
          <w:color w:val="000000" w:themeColor="text1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й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й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Ф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ц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lang w:val="ru-RU"/>
        </w:rPr>
        <w:t xml:space="preserve"> от 13.09.2022 №1602  "О соглашениях о защите и поощрении капиталовложений"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lang w:val="ru-RU"/>
        </w:rPr>
        <w:t xml:space="preserve">(с изменениями)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lang w:val="ru-RU"/>
        </w:rPr>
        <w:t xml:space="preserve">; 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lang w:val="ru-RU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</w:rPr>
        <w:t xml:space="preserve">остановление Правительства Ханты-Мансийского автономного округа - Югры от 10.10.2022 №506-п "О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</w:rPr>
        <w:t xml:space="preserve"> конкурсного отбора в соответствии с публичной проектной инициативой с учетом требований статьи 8 Федерального закона от 1 апреля 2020 года №69-ФЗ "О защите и поощрении капиталовложений в Российской Федерации", изменения и прекращения действия таких согла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</w:rPr>
        <w:t xml:space="preserve">шений, порядке раскрытия информации о бенефициарных владельцах организации, реализующей инвестиционный проект"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none"/>
          <w:lang w:val="ru-RU"/>
        </w:rPr>
        <w:t xml:space="preserve">.</w:t>
      </w:r>
      <w:r>
        <w:rPr>
          <w:rFonts w:ascii="Times New Roman" w:hAnsi="Times New Roman" w:cs="Times New Roman"/>
          <w:color w:val="002060" w:themeColor="text1"/>
          <w:sz w:val="18"/>
          <w:szCs w:val="18"/>
          <w:highlight w:val="none"/>
        </w:rPr>
      </w:r>
      <w:r>
        <w:rPr>
          <w:rFonts w:ascii="Times New Roman" w:hAnsi="Times New Roman" w:cs="Times New Roman"/>
          <w:color w:val="002060" w:themeColor="text1"/>
          <w:sz w:val="18"/>
          <w:szCs w:val="18"/>
          <w:highlight w:val="none"/>
        </w:rPr>
      </w:r>
    </w:p>
    <w:p>
      <w:pPr>
        <w:pStyle w:val="91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  <w:highlight w:val="none"/>
        </w:rPr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3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8">
    <w:name w:val="Hyperlink"/>
    <w:uiPriority w:val="99"/>
    <w:unhideWhenUsed/>
    <w:rPr>
      <w:color w:val="0000ff" w:themeColor="hyperlink"/>
      <w:u w:val="single"/>
    </w:rPr>
  </w:style>
  <w:style w:type="character" w:styleId="859">
    <w:name w:val="footnote reference"/>
    <w:basedOn w:val="894"/>
    <w:uiPriority w:val="99"/>
    <w:unhideWhenUsed/>
    <w:rPr>
      <w:vertAlign w:val="superscript"/>
    </w:rPr>
  </w:style>
  <w:style w:type="character" w:styleId="860">
    <w:name w:val="endnote reference"/>
    <w:basedOn w:val="894"/>
    <w:uiPriority w:val="99"/>
    <w:semiHidden/>
    <w:unhideWhenUsed/>
    <w:rPr>
      <w:vertAlign w:val="superscript"/>
    </w:rPr>
  </w:style>
  <w:style w:type="paragraph" w:styleId="861" w:default="1">
    <w:name w:val="Normal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ru-RU" w:bidi="ar-SA"/>
    </w:rPr>
  </w:style>
  <w:style w:type="paragraph" w:styleId="862">
    <w:name w:val="Heading 1"/>
    <w:basedOn w:val="8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863">
    <w:name w:val="Heading 2"/>
    <w:basedOn w:val="86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864">
    <w:name w:val="Heading 3"/>
    <w:basedOn w:val="8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65">
    <w:name w:val="Heading 4"/>
    <w:basedOn w:val="8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66">
    <w:name w:val="Heading 5"/>
    <w:basedOn w:val="86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67">
    <w:name w:val="Heading 6"/>
    <w:basedOn w:val="86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68">
    <w:name w:val="Heading 7"/>
    <w:basedOn w:val="86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69">
    <w:name w:val="Heading 8"/>
    <w:basedOn w:val="861"/>
    <w:qFormat/>
    <w:pPr>
      <w:jc w:val="center"/>
      <w:keepNext/>
      <w:outlineLvl w:val="7"/>
    </w:pPr>
    <w:rPr>
      <w:b/>
      <w:szCs w:val="20"/>
    </w:rPr>
  </w:style>
  <w:style w:type="paragraph" w:styleId="870">
    <w:name w:val="Heading 9"/>
    <w:basedOn w:val="86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71">
    <w:name w:val="Heading 1 Char"/>
    <w:basedOn w:val="894"/>
    <w:uiPriority w:val="9"/>
    <w:qFormat/>
    <w:rPr>
      <w:rFonts w:ascii="Arial" w:hAnsi="Arial" w:eastAsia="Arial" w:cs="Arial"/>
      <w:sz w:val="40"/>
      <w:szCs w:val="40"/>
    </w:rPr>
  </w:style>
  <w:style w:type="character" w:styleId="872">
    <w:name w:val="Heading 2 Char"/>
    <w:basedOn w:val="894"/>
    <w:uiPriority w:val="9"/>
    <w:qFormat/>
    <w:rPr>
      <w:rFonts w:ascii="Arial" w:hAnsi="Arial" w:eastAsia="Arial" w:cs="Arial"/>
      <w:sz w:val="34"/>
    </w:rPr>
  </w:style>
  <w:style w:type="character" w:styleId="873">
    <w:name w:val="Heading 3 Char"/>
    <w:basedOn w:val="894"/>
    <w:uiPriority w:val="9"/>
    <w:qFormat/>
    <w:rPr>
      <w:rFonts w:ascii="Arial" w:hAnsi="Arial" w:eastAsia="Arial" w:cs="Arial"/>
      <w:sz w:val="30"/>
      <w:szCs w:val="30"/>
    </w:rPr>
  </w:style>
  <w:style w:type="character" w:styleId="874">
    <w:name w:val="Heading 4 Char"/>
    <w:basedOn w:val="89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75">
    <w:name w:val="Heading 5 Char"/>
    <w:basedOn w:val="894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76">
    <w:name w:val="Heading 6 Char"/>
    <w:basedOn w:val="894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77">
    <w:name w:val="Heading 7 Char"/>
    <w:basedOn w:val="894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78">
    <w:name w:val="Heading 8 Char"/>
    <w:basedOn w:val="894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79">
    <w:name w:val="Heading 9 Char"/>
    <w:basedOn w:val="894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80">
    <w:name w:val="Title Char"/>
    <w:basedOn w:val="894"/>
    <w:uiPriority w:val="10"/>
    <w:qFormat/>
    <w:rPr>
      <w:sz w:val="48"/>
      <w:szCs w:val="48"/>
    </w:rPr>
  </w:style>
  <w:style w:type="character" w:styleId="881">
    <w:name w:val="Subtitle Char"/>
    <w:basedOn w:val="894"/>
    <w:uiPriority w:val="11"/>
    <w:qFormat/>
    <w:rPr>
      <w:sz w:val="24"/>
      <w:szCs w:val="24"/>
    </w:rPr>
  </w:style>
  <w:style w:type="character" w:styleId="882">
    <w:name w:val="Quote Char"/>
    <w:uiPriority w:val="29"/>
    <w:qFormat/>
    <w:rPr>
      <w:i/>
    </w:rPr>
  </w:style>
  <w:style w:type="character" w:styleId="883">
    <w:name w:val="Intense Quote Char"/>
    <w:uiPriority w:val="30"/>
    <w:qFormat/>
    <w:rPr>
      <w:i/>
    </w:rPr>
  </w:style>
  <w:style w:type="character" w:styleId="884">
    <w:name w:val="Header Char"/>
    <w:basedOn w:val="894"/>
    <w:uiPriority w:val="99"/>
    <w:qFormat/>
  </w:style>
  <w:style w:type="character" w:styleId="885">
    <w:name w:val="Footer Char"/>
    <w:basedOn w:val="894"/>
    <w:uiPriority w:val="99"/>
    <w:qFormat/>
  </w:style>
  <w:style w:type="character" w:styleId="886">
    <w:name w:val="Caption Char"/>
    <w:uiPriority w:val="99"/>
    <w:qFormat/>
  </w:style>
  <w:style w:type="character" w:styleId="887" w:customStyle="1">
    <w:name w:val="Интернет-ссылка"/>
    <w:rPr>
      <w:color w:val="000080"/>
      <w:u w:val="single"/>
    </w:rPr>
  </w:style>
  <w:style w:type="character" w:styleId="888">
    <w:name w:val="Footnote Text Char"/>
    <w:uiPriority w:val="99"/>
    <w:qFormat/>
    <w:rPr>
      <w:sz w:val="18"/>
    </w:rPr>
  </w:style>
  <w:style w:type="character" w:styleId="889">
    <w:name w:val="Привязка сноски"/>
    <w:rPr>
      <w:vertAlign w:val="superscript"/>
    </w:rPr>
  </w:style>
  <w:style w:type="character" w:styleId="890">
    <w:name w:val="Footnote Characters"/>
    <w:uiPriority w:val="99"/>
    <w:unhideWhenUsed/>
    <w:qFormat/>
    <w:rPr>
      <w:vertAlign w:val="superscript"/>
    </w:rPr>
  </w:style>
  <w:style w:type="character" w:styleId="891">
    <w:name w:val="Endnote Text Char"/>
    <w:uiPriority w:val="99"/>
    <w:qFormat/>
    <w:rPr>
      <w:sz w:val="20"/>
    </w:rPr>
  </w:style>
  <w:style w:type="character" w:styleId="892">
    <w:name w:val="Привязка концевой сноски"/>
    <w:rPr>
      <w:vertAlign w:val="superscript"/>
    </w:rPr>
  </w:style>
  <w:style w:type="character" w:styleId="893">
    <w:name w:val="Endnote Characters"/>
    <w:uiPriority w:val="99"/>
    <w:semiHidden/>
    <w:unhideWhenUsed/>
    <w:qFormat/>
    <w:rPr>
      <w:vertAlign w:val="superscript"/>
    </w:rPr>
  </w:style>
  <w:style w:type="character" w:styleId="894" w:default="1">
    <w:name w:val="Default Paragraph Font"/>
    <w:uiPriority w:val="1"/>
    <w:semiHidden/>
    <w:unhideWhenUsed/>
    <w:qFormat/>
  </w:style>
  <w:style w:type="character" w:styleId="895" w:customStyle="1">
    <w:name w:val="Основной текст с отступом Знак"/>
    <w:qFormat/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character" w:styleId="896" w:customStyle="1">
    <w:name w:val="Текст выноски Знак"/>
    <w:uiPriority w:val="99"/>
    <w:semiHidden/>
    <w:qFormat/>
    <w:rPr>
      <w:rFonts w:ascii="Tahoma" w:hAnsi="Tahoma" w:eastAsia="Times New Roman" w:cs="Tahoma"/>
      <w:sz w:val="16"/>
      <w:szCs w:val="16"/>
    </w:rPr>
  </w:style>
  <w:style w:type="character" w:styleId="897" w:customStyle="1">
    <w:name w:val="Основной текст 3 Знак"/>
    <w:uiPriority w:val="99"/>
    <w:semiHidden/>
    <w:qFormat/>
    <w:rPr>
      <w:rFonts w:ascii="Times New Roman" w:hAnsi="Times New Roman" w:eastAsia="Times New Roman"/>
      <w:sz w:val="16"/>
      <w:szCs w:val="16"/>
    </w:rPr>
  </w:style>
  <w:style w:type="character" w:styleId="898" w:customStyle="1">
    <w:name w:val="Основной текст Знак"/>
    <w:uiPriority w:val="99"/>
    <w:semiHidden/>
    <w:qFormat/>
    <w:rPr>
      <w:rFonts w:ascii="Times New Roman" w:hAnsi="Times New Roman" w:eastAsia="Times New Roman"/>
      <w:sz w:val="24"/>
      <w:szCs w:val="24"/>
    </w:rPr>
  </w:style>
  <w:style w:type="character" w:styleId="899" w:customStyle="1">
    <w:name w:val="Заголовок 8 Знак"/>
    <w:qFormat/>
    <w:rPr>
      <w:rFonts w:ascii="Times New Roman" w:hAnsi="Times New Roman" w:eastAsia="Times New Roman"/>
      <w:b/>
      <w:sz w:val="24"/>
    </w:rPr>
  </w:style>
  <w:style w:type="character" w:styleId="900" w:customStyle="1">
    <w:name w:val="Без интервала Знак"/>
    <w:uiPriority w:val="1"/>
    <w:qFormat/>
    <w:rPr>
      <w:sz w:val="22"/>
      <w:szCs w:val="22"/>
      <w:lang w:eastAsia="en-US"/>
    </w:rPr>
  </w:style>
  <w:style w:type="paragraph" w:styleId="901">
    <w:name w:val="Заголовок"/>
    <w:basedOn w:val="861"/>
    <w:next w:val="902"/>
    <w:qFormat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902">
    <w:name w:val="Body Text"/>
    <w:basedOn w:val="861"/>
    <w:uiPriority w:val="99"/>
    <w:semiHidden/>
    <w:unhideWhenUsed/>
    <w:pPr>
      <w:spacing w:before="0" w:after="120"/>
    </w:pPr>
  </w:style>
  <w:style w:type="paragraph" w:styleId="903">
    <w:name w:val="List"/>
    <w:basedOn w:val="902"/>
    <w:rPr>
      <w:rFonts w:cs="Droid Sans Devanagari"/>
    </w:rPr>
  </w:style>
  <w:style w:type="paragraph" w:styleId="904">
    <w:name w:val="Caption"/>
    <w:basedOn w:val="861"/>
    <w:link w:val="886"/>
    <w:qFormat/>
    <w:pPr>
      <w:spacing w:before="120" w:after="120"/>
      <w:suppressLineNumbers/>
    </w:pPr>
    <w:rPr>
      <w:rFonts w:cs="Droid Sans Devanagari"/>
      <w:i/>
      <w:iCs/>
    </w:rPr>
  </w:style>
  <w:style w:type="paragraph" w:styleId="905">
    <w:name w:val="Указатель"/>
    <w:basedOn w:val="861"/>
    <w:qFormat/>
    <w:pPr>
      <w:suppressLineNumbers/>
    </w:pPr>
    <w:rPr>
      <w:rFonts w:cs="Droid Sans Devanagari"/>
    </w:rPr>
  </w:style>
  <w:style w:type="paragraph" w:styleId="906">
    <w:name w:val="List Paragraph"/>
    <w:basedOn w:val="861"/>
    <w:uiPriority w:val="34"/>
    <w:qFormat/>
    <w:pPr>
      <w:contextualSpacing/>
      <w:ind w:left="720" w:firstLine="0"/>
      <w:spacing w:before="0" w:after="0"/>
    </w:pPr>
  </w:style>
  <w:style w:type="paragraph" w:styleId="907">
    <w:name w:val="Subtitle"/>
    <w:basedOn w:val="861"/>
    <w:uiPriority w:val="11"/>
    <w:qFormat/>
    <w:pPr>
      <w:spacing w:before="200" w:after="200"/>
    </w:pPr>
    <w:rPr>
      <w:sz w:val="24"/>
      <w:szCs w:val="24"/>
    </w:rPr>
  </w:style>
  <w:style w:type="paragraph" w:styleId="908">
    <w:name w:val="Quote"/>
    <w:basedOn w:val="861"/>
    <w:uiPriority w:val="29"/>
    <w:qFormat/>
    <w:pPr>
      <w:ind w:left="720" w:right="720" w:firstLine="0"/>
    </w:pPr>
    <w:rPr>
      <w:i/>
    </w:rPr>
  </w:style>
  <w:style w:type="paragraph" w:styleId="909">
    <w:name w:val="Intense Quote"/>
    <w:basedOn w:val="861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910">
    <w:name w:val="Верхний и нижний колонтитулы"/>
    <w:basedOn w:val="861"/>
    <w:qFormat/>
  </w:style>
  <w:style w:type="paragraph" w:styleId="911">
    <w:name w:val="Header"/>
    <w:basedOn w:val="861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912">
    <w:name w:val="Footer"/>
    <w:basedOn w:val="861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913">
    <w:name w:val="footnote text"/>
    <w:basedOn w:val="861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914">
    <w:name w:val="endnote text"/>
    <w:basedOn w:val="861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915">
    <w:name w:val="toc 1"/>
    <w:basedOn w:val="861"/>
    <w:uiPriority w:val="39"/>
    <w:unhideWhenUsed/>
    <w:pPr>
      <w:ind w:left="0" w:right="0" w:firstLine="0"/>
      <w:spacing w:before="0" w:after="57"/>
    </w:pPr>
  </w:style>
  <w:style w:type="paragraph" w:styleId="916">
    <w:name w:val="toc 2"/>
    <w:basedOn w:val="861"/>
    <w:uiPriority w:val="39"/>
    <w:unhideWhenUsed/>
    <w:pPr>
      <w:ind w:left="283" w:right="0" w:firstLine="0"/>
      <w:spacing w:before="0" w:after="57"/>
    </w:pPr>
  </w:style>
  <w:style w:type="paragraph" w:styleId="917">
    <w:name w:val="toc 3"/>
    <w:basedOn w:val="861"/>
    <w:uiPriority w:val="39"/>
    <w:unhideWhenUsed/>
    <w:pPr>
      <w:ind w:left="567" w:right="0" w:firstLine="0"/>
      <w:spacing w:before="0" w:after="57"/>
    </w:pPr>
  </w:style>
  <w:style w:type="paragraph" w:styleId="918">
    <w:name w:val="toc 4"/>
    <w:basedOn w:val="861"/>
    <w:uiPriority w:val="39"/>
    <w:unhideWhenUsed/>
    <w:pPr>
      <w:ind w:left="850" w:right="0" w:firstLine="0"/>
      <w:spacing w:before="0" w:after="57"/>
    </w:pPr>
  </w:style>
  <w:style w:type="paragraph" w:styleId="919">
    <w:name w:val="toc 5"/>
    <w:basedOn w:val="861"/>
    <w:uiPriority w:val="39"/>
    <w:unhideWhenUsed/>
    <w:pPr>
      <w:ind w:left="1134" w:right="0" w:firstLine="0"/>
      <w:spacing w:before="0" w:after="57"/>
    </w:pPr>
  </w:style>
  <w:style w:type="paragraph" w:styleId="920">
    <w:name w:val="toc 6"/>
    <w:basedOn w:val="861"/>
    <w:uiPriority w:val="39"/>
    <w:unhideWhenUsed/>
    <w:pPr>
      <w:ind w:left="1417" w:right="0" w:firstLine="0"/>
      <w:spacing w:before="0" w:after="57"/>
    </w:pPr>
  </w:style>
  <w:style w:type="paragraph" w:styleId="921">
    <w:name w:val="toc 7"/>
    <w:basedOn w:val="861"/>
    <w:uiPriority w:val="39"/>
    <w:unhideWhenUsed/>
    <w:pPr>
      <w:ind w:left="1701" w:right="0" w:firstLine="0"/>
      <w:spacing w:before="0" w:after="57"/>
    </w:pPr>
  </w:style>
  <w:style w:type="paragraph" w:styleId="922">
    <w:name w:val="toc 8"/>
    <w:basedOn w:val="861"/>
    <w:uiPriority w:val="39"/>
    <w:unhideWhenUsed/>
    <w:pPr>
      <w:ind w:left="1984" w:right="0" w:firstLine="0"/>
      <w:spacing w:before="0" w:after="57"/>
    </w:pPr>
  </w:style>
  <w:style w:type="paragraph" w:styleId="923">
    <w:name w:val="toc 9"/>
    <w:basedOn w:val="861"/>
    <w:uiPriority w:val="39"/>
    <w:unhideWhenUsed/>
    <w:pPr>
      <w:ind w:left="2268" w:right="0" w:firstLine="0"/>
      <w:spacing w:before="0" w:after="57"/>
    </w:pPr>
  </w:style>
  <w:style w:type="paragraph" w:styleId="924">
    <w:name w:val="TOC Heading"/>
    <w:uiPriority w:val="39"/>
    <w:unhideWhenUsed/>
    <w:qFormat/>
    <w:pPr>
      <w:jc w:val="left"/>
      <w:spacing w:before="0" w:after="0"/>
      <w:widowControl/>
    </w:pPr>
    <w:rPr>
      <w:rFonts w:ascii="Calibri" w:hAnsi="Calibri" w:eastAsia="Calibri" w:cs="Times New Roman"/>
      <w:color w:val="auto"/>
      <w:sz w:val="20"/>
      <w:szCs w:val="20"/>
      <w:lang w:val="ru-RU" w:eastAsia="ru-RU" w:bidi="ar-SA"/>
    </w:rPr>
  </w:style>
  <w:style w:type="paragraph" w:styleId="925">
    <w:name w:val="table of figures"/>
    <w:basedOn w:val="861"/>
    <w:uiPriority w:val="99"/>
    <w:unhideWhenUsed/>
    <w:qFormat/>
    <w:pPr>
      <w:spacing w:before="0" w:after="0" w:afterAutospacing="0"/>
    </w:pPr>
  </w:style>
  <w:style w:type="paragraph" w:styleId="926">
    <w:name w:val="Title"/>
    <w:basedOn w:val="861"/>
    <w:qFormat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927">
    <w:name w:val="index heading"/>
    <w:basedOn w:val="861"/>
    <w:qFormat/>
    <w:pPr>
      <w:suppressLineNumbers/>
    </w:pPr>
    <w:rPr>
      <w:rFonts w:cs="Droid Sans Devanagari"/>
    </w:rPr>
  </w:style>
  <w:style w:type="paragraph" w:styleId="928">
    <w:name w:val="Body Text Indent"/>
    <w:basedOn w:val="861"/>
    <w:pPr>
      <w:ind w:firstLine="709"/>
      <w:jc w:val="both"/>
    </w:pPr>
    <w:rPr>
      <w:color w:val="000000"/>
      <w:sz w:val="28"/>
      <w:szCs w:val="28"/>
    </w:rPr>
  </w:style>
  <w:style w:type="paragraph" w:styleId="929">
    <w:name w:val="Balloon Text"/>
    <w:basedOn w:val="861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930">
    <w:name w:val="Body Text 3"/>
    <w:basedOn w:val="861"/>
    <w:uiPriority w:val="99"/>
    <w:semiHidden/>
    <w:unhideWhenUsed/>
    <w:qFormat/>
    <w:pPr>
      <w:spacing w:before="0" w:after="120"/>
    </w:pPr>
    <w:rPr>
      <w:sz w:val="16"/>
      <w:szCs w:val="16"/>
    </w:rPr>
  </w:style>
  <w:style w:type="paragraph" w:styleId="931">
    <w:name w:val="No Spacing"/>
    <w:uiPriority w:val="1"/>
    <w:qFormat/>
    <w:pPr>
      <w:jc w:val="left"/>
      <w:spacing w:before="0" w:after="0"/>
      <w:widowControl/>
    </w:pPr>
    <w:rPr>
      <w:rFonts w:ascii="Calibri" w:hAnsi="Calibri" w:eastAsia="Calibri" w:cs="Times New Roman"/>
      <w:color w:val="auto"/>
      <w:sz w:val="22"/>
      <w:szCs w:val="22"/>
      <w:lang w:val="ru-RU" w:eastAsia="en-US" w:bidi="ar-SA"/>
    </w:rPr>
  </w:style>
  <w:style w:type="paragraph" w:styleId="932" w:customStyle="1">
    <w:name w:val="Default"/>
    <w:qFormat/>
    <w:pPr>
      <w:jc w:val="left"/>
      <w:spacing w:before="0" w:after="0"/>
      <w:widowControl/>
    </w:pPr>
    <w:rPr>
      <w:rFonts w:ascii="Times New Roman" w:hAnsi="Times New Roman" w:eastAsia="Calibri" w:cs="Times New Roman"/>
      <w:color w:val="000000"/>
      <w:sz w:val="24"/>
      <w:szCs w:val="24"/>
      <w:lang w:val="ru-RU" w:eastAsia="ru-RU" w:bidi="ar-SA"/>
    </w:rPr>
  </w:style>
  <w:style w:type="numbering" w:styleId="933" w:default="1">
    <w:name w:val="No List"/>
    <w:uiPriority w:val="99"/>
    <w:semiHidden/>
    <w:unhideWhenUsed/>
    <w:qFormat/>
  </w:style>
  <w:style w:type="table" w:styleId="934" w:default="1">
    <w:name w:val="Normal Table"/>
    <w:uiPriority w:val="99"/>
    <w:semiHidden/>
    <w:unhideWhenUsed/>
    <w:tblPr/>
  </w:style>
  <w:style w:type="character" w:styleId="935" w:customStyle="1">
    <w:name w:val="Основной шрифт абзаца3"/>
    <w:qFormat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wmf"/><Relationship Id="rId10" Type="http://schemas.openxmlformats.org/officeDocument/2006/relationships/oleObject" Target="embeddings/oleObject1.bin"/><Relationship Id="rId11" Type="http://schemas.openxmlformats.org/officeDocument/2006/relationships/hyperlink" Target="mailto:ds@n-vartovsk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Балдина СВ</dc:creator>
  <dc:description/>
  <dc:language>ru-RU</dc:language>
  <cp:lastModifiedBy>kvasovaag</cp:lastModifiedBy>
  <cp:revision>170</cp:revision>
  <dcterms:created xsi:type="dcterms:W3CDTF">2019-05-16T11:43:00Z</dcterms:created>
  <dcterms:modified xsi:type="dcterms:W3CDTF">2026-08-12T06:34:39Z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