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rPr>
          <w:sz w:val="28"/>
        </w:rPr>
      </w:pPr>
      <w:r>
        <w:rPr>
          <w:sz w:val="28"/>
        </w:rPr>
        <w:t xml:space="preserve">Информация</w:t>
      </w:r>
      <w:r/>
    </w:p>
    <w:p>
      <w:pPr>
        <w:pStyle w:val="821"/>
        <w:rPr>
          <w:sz w:val="28"/>
          <w:szCs w:val="28"/>
        </w:rPr>
      </w:pPr>
      <w:r>
        <w:rPr>
          <w:sz w:val="28"/>
        </w:rPr>
        <w:t xml:space="preserve"> о состоянии окружающей среды на территории города Нижневартовска </w:t>
      </w:r>
      <w:r>
        <w:rPr>
          <w:sz w:val="28"/>
          <w:szCs w:val="28"/>
        </w:rPr>
      </w:r>
      <w:r/>
    </w:p>
    <w:p>
      <w:pPr>
        <w:pStyle w:val="8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01.01.202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</w:r>
      <w:r/>
    </w:p>
    <w:p>
      <w:pPr>
        <w:pStyle w:val="820"/>
        <w:ind w:firstLine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Экологическое состояние города Нижневартовска отчасти обусловлено тем, что город находится в зоне техногенного воздействия нефтегазодобывающей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отрасли, так как основными отраслями промышленности в городе Нижневартовске и Нижневартовском районе являются нефтедобыча, нефтепереработка и газопереработка, транспортировка нефти и газа, энергетика, топливная промышленность, производство стройматериалов.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Основными источниками загрязнения атмосферного воздуха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являются сжигание попутного нефтяного газа на факелах, испарение легких компонентов нефтяных углеводородов с поверхности аварийных разливов, шламовых ам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баров, их резервуаров, выбросы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котельных и автотранспорта.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Эпизодически вклад в состояние регионального уровня загрязнения атмосферы привносят лесные и торфяные пожары.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за состоянием атмосферного воздуха на территории города осуществляется 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стационарн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Ханты-Мансийского ЦГМС 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филиала ФГБУ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Обь-Иртышское УГМС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Перечень контролируемых ингредиентов включает: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пыль (взвешенные частицы),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диоксид серы, оксид углерода, диоксид азота, оксид азота, фенол, сажа, формальдегид.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результатам проведенных в 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 наблюдений превышение среднемесячных концентраций загрязняющих веществ в атмосферном воздухе не выявлено, 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лучаев высокого и экстремально высокого загрязнения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атмосферного воздуха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зарегистрировано. </w:t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none"/>
        </w:rPr>
        <w:t xml:space="preserve">За последние 13 лет на территории городских лесов в 2023 году был зарегистрирован один пожар, который был быстро потушен.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none"/>
        </w:rPr>
      </w:r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территории города Нижневартовска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ФБУЗ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Центр гигиены и эпидемиологии в Ханты-Мансийском автономном округе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городе Нижневартовске и Нижневартовском районе,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городе Мегионе и городе Радужном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роведен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239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мощности дозы гамма-фона.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Максимальный зарегистрированный уровень дозы гамма-фона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равен среднему значению уровня за 2023 год и составил 0,8 мкЗв/ч.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Радиационная обстановка на территории города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стабильно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благоприятная.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Водные запасы на территории города представлены 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еками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Обь,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Большой Еган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Малый Еган, Рязанский Еган, пр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отокой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Большая Рязанка, озерами Комсомольск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Эмтор, Голуб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Кедровое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границе городской черты находятся озера Церковное и Рямное.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Нижнев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артовский гидрохимический пост,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котором контролируется качество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поверхностных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вод, расположен на реке Обь.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характеристики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степени загрязненности водных объектов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удельн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комбинаторн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индекс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загрязн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нности воды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(УКИЗВ)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оценива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ющий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долю загрязняющего эффекта, вносимого в общую степень загрязн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нности воды, обусловленную одновременным присутствием ряда загрязняющих веществ.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Характерными загрязняющими веществами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водных объектов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Ханты-Мансийского автон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омного округа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Югры являются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железо, марганец, медь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цинк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органические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вещества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(ХПК).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данным Ханты-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Мансийского ЦГМС – филиала ФГБУ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Обь-Иртышское УГМС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тепень загрязненности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Обь в районе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гидрохимического поста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Нижневартовск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оценивается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грязная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случаев высокого загрязнения и экстремально высокого загрязнения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истекший период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наблюдалось.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Городские сточные воды очищаются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 нормативных показателей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канализационных очистных сооружения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сбрасываются в реку Рязанский Еган.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Основной вид негативн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ого воздействия на городские земельные ресурсы - захламление отходами производства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потреблени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муниципальных контрактов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ликвидирован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58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несанкционированного размещения отходов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проведенных мероприятий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вывезено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размещение (обезвреживание)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2 720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отходов различных классов опасности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1,8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 биологических отходов,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719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отработанных люминесцентных ламп,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автомобильных покрышек. Очищены земельные участки на площади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2,29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проводилась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акция по уборке берегов рек и озер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регионального проекта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Сохранение уникальных водных объектов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национального проекта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Экология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bidi="ru-RU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которой проведено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 участии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1100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волонтеров очищено 12,1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км береговой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линии водных объектов: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р. Обь, пр. Мысовая Мега, р. Рязанский Еган, р. Малый Еган, оз. Комсо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мольское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В сфере об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раще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ния с отходами в городе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работа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29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пециализированн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организаци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действу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6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установ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ок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по предварительной обработке, обезвреживанию и утилизации различных видов отхо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дов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2018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запущен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в эксплуатацию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мусоросортировочный комплекс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В 2023 году на территории города образовано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и обработано 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мус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оросортировочном комплексе ООО "Баркас+"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69,99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тыс. т отходов,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направлено на утилиз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ацию на ведущие заводы страны 5,42 тыс. т вторсырья.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Неутильные фракции направляются для размещения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полигоне ТК</w:t>
      </w:r>
      <w:bookmarkStart w:id="0" w:name="undefine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  <w:br/>
        <w:t xml:space="preserve">г. Мегиона,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расположенном в пгт. Высокий (ООО "ЖКАП")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Нижневартовского полигона по утилизации и захоронению отходов производства и потребления прекращена, он выведен из эксплуатации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марте 2020 года.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Нижневартовский полигон эксплуатировался с 1970 года, в течение 50 лет было накоплено 2 443,9 тыс. 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отходов.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r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В 2022-2023 годах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рамках реализации регионально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 и федерального проектов "Чистая страна" национального проекта "Экология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" проведен к</w:t>
      </w:r>
      <w:r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омплекс мероприятий по выполнению технического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биологического этапов рекультивации полигона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  <w:r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r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Основной целью проводимых рабо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 по рекультивации полигона является восстановление нарушенных земель с возможностью их дальнейшего использования. Завершение работ по рекультивации в 2023 году привело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к достижению целевых показателей национального проекта "Экология":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общая площадь 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культивированных земель составила 20,71 га;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ликвидирована одна свалка в границах города;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улучшилось качество жизни населения города численностью 278,7 тыс. человек.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Для раздельного накопления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твердых коммунальных отходов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от населения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в жилых микрорайонах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установлено 395 сетчатых контейнеров для полимерных отходов (ПЭТ-бутылки и другие виды пластмасс). Для накопления опасных отходов установлено 314 специализированных контейнеров 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па "Экобокс",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12 спе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циализированных контейнеров для отходов бумаги и картона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 w:bidi="ru-RU"/>
        </w:rPr>
        <w:t xml:space="preserve">. Раздельное накопление отходов также осуществляется в местах общего пользования и муниципальных учреждениях города.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В городе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открыты и успешно функционируют четыре пункта приема вторичных ресурсов, где за вознаграждение у населения принимают раздельно накопленные отходы бумаг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и, пластика, стекла, металла, полиэтилена, пленки упаковочной, и другие.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сохранения благоприятной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экологической ситуации и снижении негативного воздействия на окружающую среду в городе реал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уется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"Оздоровление экологической обс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тановки в городе Нижневартовске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Georgia">
    <w:panose1 w:val="02040502050405020303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20"/>
        <w:ind w:left="0" w:firstLine="0"/>
      </w:pPr>
      <w:rPr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820"/>
        <w:ind w:left="0" w:firstLine="0"/>
      </w:pPr>
      <w:rPr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820"/>
        <w:ind w:left="0" w:firstLine="0"/>
      </w:pPr>
      <w:rPr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820"/>
        <w:ind w:left="0" w:firstLine="0"/>
      </w:pPr>
      <w:rPr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820"/>
        <w:ind w:left="0" w:firstLine="0"/>
      </w:pPr>
      <w:rPr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820"/>
        <w:ind w:left="0" w:firstLine="0"/>
      </w:pPr>
      <w:rPr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820"/>
        <w:ind w:left="0" w:firstLine="0"/>
      </w:pPr>
      <w:rPr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820"/>
        <w:ind w:left="0" w:firstLine="0"/>
      </w:pPr>
      <w:rPr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820"/>
        <w:ind w:left="0" w:firstLine="0"/>
      </w:pPr>
      <w:rPr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0"/>
        <w:ind w:left="1260" w:hanging="360"/>
        <w:tabs>
          <w:tab w:val="num" w:pos="12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0"/>
        <w:ind w:left="1260" w:hanging="360"/>
        <w:tabs>
          <w:tab w:val="num" w:pos="12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0"/>
        <w:ind w:left="1980" w:hanging="360"/>
        <w:tabs>
          <w:tab w:val="num" w:pos="19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0"/>
        <w:ind w:left="2700" w:hanging="360"/>
        <w:tabs>
          <w:tab w:val="num" w:pos="27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0"/>
        <w:ind w:left="3420" w:hanging="360"/>
        <w:tabs>
          <w:tab w:val="num" w:pos="34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0"/>
        <w:ind w:left="4140" w:hanging="360"/>
        <w:tabs>
          <w:tab w:val="num" w:pos="41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0"/>
        <w:ind w:left="4860" w:hanging="360"/>
        <w:tabs>
          <w:tab w:val="num" w:pos="48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0"/>
        <w:ind w:left="5580" w:hanging="360"/>
        <w:tabs>
          <w:tab w:val="num" w:pos="55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0"/>
        <w:ind w:left="6300" w:hanging="360"/>
        <w:tabs>
          <w:tab w:val="num" w:pos="630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35" w:hanging="375"/>
        <w:tabs>
          <w:tab w:val="num" w:pos="7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next w:val="820"/>
    <w:link w:val="820"/>
    <w:qFormat/>
    <w:rPr>
      <w:sz w:val="24"/>
      <w:szCs w:val="24"/>
      <w:lang w:val="ru-RU" w:eastAsia="ru-RU" w:bidi="ar-SA"/>
    </w:rPr>
  </w:style>
  <w:style w:type="paragraph" w:styleId="821">
    <w:name w:val="Заголовок 1"/>
    <w:basedOn w:val="820"/>
    <w:next w:val="820"/>
    <w:link w:val="820"/>
    <w:qFormat/>
    <w:pPr>
      <w:jc w:val="center"/>
      <w:keepNext/>
      <w:outlineLvl w:val="0"/>
    </w:pPr>
    <w:rPr>
      <w:rFonts w:eastAsia="Arial Unicode MS"/>
      <w:b/>
      <w:sz w:val="32"/>
      <w:szCs w:val="20"/>
    </w:rPr>
  </w:style>
  <w:style w:type="paragraph" w:styleId="822">
    <w:name w:val="Заголовок 2"/>
    <w:basedOn w:val="820"/>
    <w:next w:val="820"/>
    <w:link w:val="832"/>
    <w:qFormat/>
    <w:pPr>
      <w:ind w:left="-180" w:right="700"/>
      <w:jc w:val="both"/>
      <w:keepNext/>
      <w:tabs>
        <w:tab w:val="left" w:pos="-180" w:leader="none"/>
      </w:tabs>
      <w:outlineLvl w:val="1"/>
    </w:pPr>
    <w:rPr>
      <w:sz w:val="28"/>
      <w:szCs w:val="28"/>
      <w:lang w:val="en-US" w:eastAsia="en-US"/>
    </w:rPr>
  </w:style>
  <w:style w:type="paragraph" w:styleId="823">
    <w:name w:val="Заголовок 5"/>
    <w:basedOn w:val="820"/>
    <w:next w:val="820"/>
    <w:link w:val="820"/>
    <w:qFormat/>
    <w:pPr>
      <w:jc w:val="center"/>
      <w:keepNext/>
      <w:outlineLvl w:val="4"/>
    </w:pPr>
    <w:rPr>
      <w:rFonts w:eastAsia="Arial Unicode MS"/>
      <w:sz w:val="28"/>
    </w:rPr>
  </w:style>
  <w:style w:type="character" w:styleId="824">
    <w:name w:val="Основной шрифт абзаца"/>
    <w:next w:val="824"/>
    <w:link w:val="820"/>
    <w:semiHidden/>
  </w:style>
  <w:style w:type="table" w:styleId="825">
    <w:name w:val="Обычная таблица"/>
    <w:next w:val="825"/>
    <w:link w:val="820"/>
    <w:semiHidden/>
    <w:tblPr/>
  </w:style>
  <w:style w:type="numbering" w:styleId="826">
    <w:name w:val="Нет списка"/>
    <w:next w:val="826"/>
    <w:link w:val="820"/>
    <w:semiHidden/>
  </w:style>
  <w:style w:type="paragraph" w:styleId="827">
    <w:name w:val="Основной текст с отступом"/>
    <w:basedOn w:val="820"/>
    <w:next w:val="827"/>
    <w:link w:val="831"/>
    <w:pPr>
      <w:ind w:left="4680"/>
    </w:pPr>
    <w:rPr>
      <w:lang w:val="en-US" w:eastAsia="en-US"/>
    </w:rPr>
  </w:style>
  <w:style w:type="paragraph" w:styleId="828">
    <w:name w:val="Текст выноски"/>
    <w:basedOn w:val="820"/>
    <w:next w:val="828"/>
    <w:link w:val="820"/>
    <w:semiHidden/>
    <w:rPr>
      <w:rFonts w:ascii="Tahoma" w:hAnsi="Tahoma" w:cs="Tahoma"/>
      <w:sz w:val="16"/>
      <w:szCs w:val="16"/>
    </w:rPr>
  </w:style>
  <w:style w:type="table" w:styleId="829">
    <w:name w:val="Сетка таблицы"/>
    <w:basedOn w:val="825"/>
    <w:next w:val="829"/>
    <w:link w:val="820"/>
    <w:tblPr/>
  </w:style>
  <w:style w:type="paragraph" w:styleId="830">
    <w:name w:val="Стандартный HTML"/>
    <w:basedOn w:val="820"/>
    <w:next w:val="830"/>
    <w:link w:val="8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31">
    <w:name w:val="Основной текст с отступом Знак"/>
    <w:next w:val="831"/>
    <w:link w:val="827"/>
    <w:rPr>
      <w:sz w:val="24"/>
      <w:szCs w:val="24"/>
    </w:rPr>
  </w:style>
  <w:style w:type="character" w:styleId="832">
    <w:name w:val="Заголовок 2 Знак"/>
    <w:next w:val="832"/>
    <w:link w:val="822"/>
    <w:rPr>
      <w:sz w:val="28"/>
      <w:szCs w:val="28"/>
    </w:rPr>
  </w:style>
  <w:style w:type="paragraph" w:styleId="833">
    <w:name w:val="Основной текст"/>
    <w:basedOn w:val="820"/>
    <w:next w:val="833"/>
    <w:link w:val="834"/>
    <w:pPr>
      <w:spacing w:after="120"/>
    </w:pPr>
    <w:rPr>
      <w:lang w:val="en-US" w:eastAsia="en-US"/>
    </w:rPr>
  </w:style>
  <w:style w:type="character" w:styleId="834">
    <w:name w:val="Основной текст Знак"/>
    <w:next w:val="834"/>
    <w:link w:val="833"/>
    <w:rPr>
      <w:sz w:val="24"/>
      <w:szCs w:val="24"/>
    </w:rPr>
  </w:style>
  <w:style w:type="paragraph" w:styleId="835">
    <w:name w:val="Обычный (веб)"/>
    <w:basedOn w:val="820"/>
    <w:next w:val="835"/>
    <w:link w:val="820"/>
    <w:uiPriority w:val="99"/>
    <w:unhideWhenUsed/>
    <w:pPr>
      <w:spacing w:before="100" w:beforeAutospacing="1" w:after="100" w:afterAutospacing="1"/>
    </w:pPr>
  </w:style>
  <w:style w:type="character" w:styleId="836">
    <w:name w:val="Строгий"/>
    <w:next w:val="836"/>
    <w:link w:val="820"/>
    <w:uiPriority w:val="22"/>
    <w:qFormat/>
    <w:rPr>
      <w:b/>
      <w:bCs/>
    </w:rPr>
  </w:style>
  <w:style w:type="paragraph" w:styleId="837">
    <w:name w:val="Default"/>
    <w:next w:val="837"/>
    <w:link w:val="820"/>
    <w:rPr>
      <w:rFonts w:ascii="Georgia" w:hAnsi="Georgia" w:cs="Georgia"/>
      <w:color w:val="000000"/>
      <w:sz w:val="24"/>
      <w:szCs w:val="24"/>
      <w:lang w:val="ru-RU" w:eastAsia="ru-RU" w:bidi="ar-SA"/>
    </w:rPr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table" w:styleId="8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Громова Е</dc:creator>
  <cp:revision>7</cp:revision>
  <dcterms:created xsi:type="dcterms:W3CDTF">2023-03-15T04:50:00Z</dcterms:created>
  <dcterms:modified xsi:type="dcterms:W3CDTF">2024-03-04T09:20:18Z</dcterms:modified>
  <cp:version>1048576</cp:version>
</cp:coreProperties>
</file>