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A3" w:rsidRDefault="007C0FA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D5CD3" w:rsidRPr="00AB4941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 лист</w:t>
      </w:r>
      <w:r w:rsidR="00ED5CD3" w:rsidRPr="00AB4941">
        <w:rPr>
          <w:rFonts w:ascii="Times New Roman" w:hAnsi="Times New Roman"/>
          <w:b/>
          <w:sz w:val="28"/>
          <w:szCs w:val="28"/>
        </w:rPr>
        <w:t xml:space="preserve"> 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AB4941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AB4941">
        <w:rPr>
          <w:rFonts w:ascii="Times New Roman" w:hAnsi="Times New Roman"/>
          <w:b/>
          <w:sz w:val="28"/>
          <w:szCs w:val="28"/>
        </w:rPr>
        <w:t xml:space="preserve"> оценки фактического воздействия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06792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B16A1" w:rsidRPr="008B16A1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</w:t>
            </w:r>
            <w:proofErr w:type="gramStart"/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8B16A1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публичного обсуждения</w:t>
            </w:r>
          </w:p>
          <w:p w:rsidR="00CA37E2" w:rsidRDefault="00CA37E2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CA37E2" w:rsidRDefault="00757C8B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8B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09.10.2015 №1826 "Об утверждении муниц</w:t>
            </w:r>
            <w:r w:rsidRPr="00757C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57C8B">
              <w:rPr>
                <w:rFonts w:ascii="Times New Roman" w:hAnsi="Times New Roman"/>
                <w:sz w:val="24"/>
                <w:szCs w:val="24"/>
              </w:rPr>
              <w:t>пальной программы "Развитие агропромышленного комплекса на территории города Нижн</w:t>
            </w:r>
            <w:r w:rsidRPr="00757C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57C8B">
              <w:rPr>
                <w:rFonts w:ascii="Times New Roman" w:hAnsi="Times New Roman"/>
                <w:sz w:val="24"/>
                <w:szCs w:val="24"/>
              </w:rPr>
              <w:t>вартовска на 2016-2020 годы"</w:t>
            </w:r>
          </w:p>
          <w:p w:rsidR="007C0FA3" w:rsidRPr="007C0FA3" w:rsidRDefault="007C0FA3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8B16A1" w:rsidRDefault="008B16A1" w:rsidP="00D46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8B16A1" w:rsidRPr="008B16A1" w:rsidRDefault="00A314C7" w:rsidP="00D46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9" w:history="1">
              <w:r w:rsidR="00757C8B" w:rsidRPr="0046158F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oprak</w:t>
              </w:r>
              <w:r w:rsidR="00757C8B" w:rsidRPr="0046158F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@n-vartovsk.ru</w:t>
              </w:r>
            </w:hyperlink>
          </w:p>
          <w:p w:rsidR="008B16A1" w:rsidRPr="008B16A1" w:rsidRDefault="008B16A1" w:rsidP="007C0F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A314C7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bookmarkStart w:id="0" w:name="_GoBack"/>
            <w:bookmarkEnd w:id="0"/>
            <w:r w:rsidR="00757C8B">
              <w:rPr>
                <w:rFonts w:ascii="Times New Roman" w:hAnsi="Times New Roman"/>
                <w:sz w:val="24"/>
                <w:szCs w:val="24"/>
                <w:u w:val="single"/>
              </w:rPr>
              <w:t>.11</w:t>
            </w:r>
            <w:r w:rsidR="007C0FA3" w:rsidRPr="007C0FA3">
              <w:rPr>
                <w:rFonts w:ascii="Times New Roman" w:hAnsi="Times New Roman"/>
                <w:sz w:val="24"/>
                <w:szCs w:val="24"/>
                <w:u w:val="single"/>
              </w:rPr>
              <w:t>.2017</w:t>
            </w:r>
          </w:p>
          <w:p w:rsidR="008B16A1" w:rsidRPr="008B16A1" w:rsidRDefault="008B16A1" w:rsidP="00D4612F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осуществляющий оценку фактического воздействия муниципального нормати</w:t>
            </w:r>
            <w:r w:rsidRPr="008B16A1">
              <w:rPr>
                <w:rFonts w:ascii="Times New Roman" w:hAnsi="Times New Roman"/>
                <w:sz w:val="24"/>
                <w:szCs w:val="24"/>
              </w:rPr>
              <w:t>в</w:t>
            </w:r>
            <w:r w:rsidRPr="008B16A1">
              <w:rPr>
                <w:rFonts w:ascii="Times New Roman" w:hAnsi="Times New Roman"/>
                <w:sz w:val="24"/>
                <w:szCs w:val="24"/>
              </w:rPr>
              <w:t>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8B16A1" w:rsidRDefault="008B16A1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D4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7F7E7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1. Способствует ли, по Вашему мнению, муниципальный нормативный правовой акт развитию </w:t>
            </w:r>
            <w:proofErr w:type="gramStart"/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предпринимательской</w:t>
            </w:r>
            <w:proofErr w:type="gramEnd"/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и инвестиционной деятельности в городе Нижневарто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ске? Если не способствует, то </w:t>
            </w:r>
            <w:proofErr w:type="gramStart"/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каким причинам?</w:t>
            </w:r>
          </w:p>
        </w:tc>
      </w:tr>
      <w:tr w:rsidR="008B16A1" w:rsidRPr="008B16A1" w:rsidTr="007F7E7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proofErr w:type="gramStart"/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С какими проблемами, на Ваш взгляд, сталкиваются субъекты предпринимател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ской и инвестиционной деятельности при реализации муниципального нормативного прав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вого акта?</w:t>
            </w:r>
            <w:proofErr w:type="gramEnd"/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могут быть пути их решения?</w:t>
            </w:r>
          </w:p>
        </w:tc>
      </w:tr>
      <w:tr w:rsidR="008B16A1" w:rsidRPr="008B16A1" w:rsidTr="007F7E7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ное муниципальным нормативным правовым актом?</w:t>
            </w:r>
          </w:p>
        </w:tc>
      </w:tr>
      <w:tr w:rsidR="008B16A1" w:rsidRPr="008B16A1" w:rsidTr="007F7E7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D461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т ли в муниципальном нормативном правовом акте положения, кот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рые необоснованно затрудняют ведение </w:t>
            </w:r>
            <w:proofErr w:type="gramStart"/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предпринимательской</w:t>
            </w:r>
            <w:proofErr w:type="gramEnd"/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и инвестиционной деятельн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сти или приводят к возникновению необоснованных расходов субъектов предпринимател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7F7E7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вового </w:t>
            </w:r>
            <w:proofErr w:type="gramStart"/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акта</w:t>
            </w:r>
            <w:proofErr w:type="gramEnd"/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6. Иные предложения и замечания, которые, по Вашему мнению, целесообразно учесть в </w:t>
            </w:r>
            <w:proofErr w:type="gramStart"/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рамках</w:t>
            </w:r>
            <w:proofErr w:type="gramEnd"/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7F7E7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4F" w:rsidRDefault="0063444F" w:rsidP="00752BE6">
      <w:pPr>
        <w:spacing w:after="0" w:line="240" w:lineRule="auto"/>
      </w:pPr>
      <w:r>
        <w:separator/>
      </w:r>
    </w:p>
  </w:endnote>
  <w:end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4F" w:rsidRDefault="0063444F" w:rsidP="00752BE6">
      <w:pPr>
        <w:spacing w:after="0" w:line="240" w:lineRule="auto"/>
      </w:pPr>
      <w:r>
        <w:separator/>
      </w:r>
    </w:p>
  </w:footnote>
  <w:foot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A314C7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1C83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4F03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A74F7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444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57C8B"/>
    <w:rsid w:val="00773E1D"/>
    <w:rsid w:val="0077708E"/>
    <w:rsid w:val="007C0FA3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255B2"/>
    <w:rsid w:val="0094359E"/>
    <w:rsid w:val="00951FFB"/>
    <w:rsid w:val="009B4FD7"/>
    <w:rsid w:val="009D3687"/>
    <w:rsid w:val="009F59BC"/>
    <w:rsid w:val="00A003CD"/>
    <w:rsid w:val="00A04062"/>
    <w:rsid w:val="00A05132"/>
    <w:rsid w:val="00A0563A"/>
    <w:rsid w:val="00A16F68"/>
    <w:rsid w:val="00A26FDA"/>
    <w:rsid w:val="00A314C7"/>
    <w:rsid w:val="00A46F04"/>
    <w:rsid w:val="00A72DD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C332F6"/>
    <w:rsid w:val="00C44012"/>
    <w:rsid w:val="00C74A74"/>
    <w:rsid w:val="00CA37E2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C0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C0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prak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8DFC-BF08-48E8-A6CC-3168A8B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Хаджинова Татьяна Анатольевна</cp:lastModifiedBy>
  <cp:revision>4</cp:revision>
  <cp:lastPrinted>2017-09-19T11:35:00Z</cp:lastPrinted>
  <dcterms:created xsi:type="dcterms:W3CDTF">2017-10-13T10:02:00Z</dcterms:created>
  <dcterms:modified xsi:type="dcterms:W3CDTF">2017-10-16T13:09:00Z</dcterms:modified>
</cp:coreProperties>
</file>