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181C6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</w:t>
      </w:r>
      <w:r w:rsidR="0005694B" w:rsidRPr="0005694B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05694B" w:rsidRPr="002C31BD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1BD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2C31BD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2C31BD" w:rsidRDefault="0005694B" w:rsidP="00AB43C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C31BD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</w:t>
      </w:r>
      <w:r w:rsidR="0080097B" w:rsidRPr="002C31BD">
        <w:rPr>
          <w:rFonts w:ascii="Times New Roman" w:hAnsi="Times New Roman"/>
          <w:sz w:val="28"/>
          <w:szCs w:val="28"/>
        </w:rPr>
        <w:t>вовых актов,</w:t>
      </w:r>
      <w:r w:rsidRPr="002C31BD">
        <w:rPr>
          <w:rFonts w:ascii="Times New Roman" w:hAnsi="Times New Roman"/>
          <w:sz w:val="28"/>
          <w:szCs w:val="28"/>
        </w:rPr>
        <w:t xml:space="preserve"> </w:t>
      </w:r>
      <w:r w:rsidR="0080097B" w:rsidRPr="002C31BD">
        <w:rPr>
          <w:rFonts w:ascii="Times New Roman" w:hAnsi="Times New Roman"/>
          <w:color w:val="000000"/>
          <w:sz w:val="28"/>
          <w:szCs w:val="28"/>
        </w:rPr>
        <w:t>экспертизы и оценки фактического воздействия</w:t>
      </w:r>
      <w:r w:rsidR="0080097B" w:rsidRPr="002C3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C31BD">
        <w:rPr>
          <w:rFonts w:ascii="Times New Roman" w:hAnsi="Times New Roman"/>
          <w:sz w:val="28"/>
          <w:szCs w:val="28"/>
        </w:rPr>
        <w:t>муниципальных нормативных</w:t>
      </w:r>
      <w:r w:rsidR="00D7508E" w:rsidRPr="002C31BD">
        <w:rPr>
          <w:rFonts w:ascii="Times New Roman" w:hAnsi="Times New Roman"/>
          <w:sz w:val="28"/>
          <w:szCs w:val="28"/>
        </w:rPr>
        <w:t xml:space="preserve"> правовых актов, затрагивающих </w:t>
      </w:r>
      <w:r w:rsidRPr="002C31BD">
        <w:rPr>
          <w:rFonts w:ascii="Times New Roman" w:hAnsi="Times New Roman"/>
          <w:sz w:val="28"/>
          <w:szCs w:val="28"/>
        </w:rPr>
        <w:t>вопросы осуществления предпринимательской и инвестиционной деятельности, утвержденного постановлением администрации города</w:t>
      </w:r>
      <w:r w:rsidR="002C31BD">
        <w:rPr>
          <w:rFonts w:ascii="Times New Roman" w:hAnsi="Times New Roman"/>
          <w:sz w:val="28"/>
          <w:szCs w:val="28"/>
        </w:rPr>
        <w:t xml:space="preserve"> </w:t>
      </w:r>
      <w:r w:rsidR="00181C65" w:rsidRPr="002C31BD">
        <w:rPr>
          <w:rFonts w:ascii="Times New Roman" w:hAnsi="Times New Roman"/>
          <w:sz w:val="28"/>
          <w:szCs w:val="28"/>
        </w:rPr>
        <w:t>от 29.10.2015 №1935</w:t>
      </w:r>
      <w:r w:rsidR="000E7383">
        <w:rPr>
          <w:rFonts w:ascii="Times New Roman" w:hAnsi="Times New Roman"/>
          <w:sz w:val="28"/>
          <w:szCs w:val="28"/>
        </w:rPr>
        <w:t>,</w:t>
      </w:r>
    </w:p>
    <w:p w:rsidR="0005694B" w:rsidRPr="002C31BD" w:rsidRDefault="00181C65" w:rsidP="00181C6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C31BD">
        <w:rPr>
          <w:rFonts w:ascii="Times New Roman" w:hAnsi="Times New Roman"/>
          <w:sz w:val="28"/>
          <w:szCs w:val="28"/>
          <w:u w:val="single"/>
        </w:rPr>
        <w:t>Департаментом строительства администрации города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AB43C2" w:rsidRDefault="0005694B" w:rsidP="00AB43C2">
      <w:pPr>
        <w:pStyle w:val="ab"/>
        <w:rPr>
          <w:rFonts w:ascii="Times New Roman" w:hAnsi="Times New Roman"/>
          <w:sz w:val="24"/>
          <w:szCs w:val="24"/>
        </w:rPr>
      </w:pPr>
    </w:p>
    <w:p w:rsidR="0005694B" w:rsidRPr="002C31BD" w:rsidRDefault="0005694B" w:rsidP="00AB43C2">
      <w:pPr>
        <w:pStyle w:val="ab"/>
        <w:jc w:val="both"/>
        <w:rPr>
          <w:rFonts w:ascii="Times New Roman" w:hAnsi="Times New Roman"/>
          <w:sz w:val="28"/>
          <w:u w:val="single"/>
        </w:rPr>
      </w:pPr>
      <w:r w:rsidRPr="002C31BD">
        <w:rPr>
          <w:rFonts w:ascii="Times New Roman" w:hAnsi="Times New Roman"/>
          <w:sz w:val="28"/>
        </w:rPr>
        <w:t xml:space="preserve">в период с </w:t>
      </w:r>
      <w:r w:rsidR="002006D2" w:rsidRPr="002C31BD">
        <w:rPr>
          <w:rFonts w:ascii="Times New Roman" w:hAnsi="Times New Roman"/>
          <w:sz w:val="28"/>
        </w:rPr>
        <w:t>"</w:t>
      </w:r>
      <w:r w:rsidR="00181C65" w:rsidRPr="002C31BD">
        <w:rPr>
          <w:rFonts w:ascii="Times New Roman" w:hAnsi="Times New Roman"/>
          <w:sz w:val="28"/>
        </w:rPr>
        <w:t>13</w:t>
      </w:r>
      <w:r w:rsidR="002006D2" w:rsidRPr="002C31BD">
        <w:rPr>
          <w:rFonts w:ascii="Times New Roman" w:hAnsi="Times New Roman"/>
          <w:sz w:val="28"/>
        </w:rPr>
        <w:t>"</w:t>
      </w:r>
      <w:r w:rsidRPr="002C31BD">
        <w:rPr>
          <w:rFonts w:ascii="Times New Roman" w:hAnsi="Times New Roman"/>
          <w:sz w:val="28"/>
        </w:rPr>
        <w:t xml:space="preserve"> </w:t>
      </w:r>
      <w:r w:rsidR="00181C65" w:rsidRPr="002C31BD">
        <w:rPr>
          <w:rFonts w:ascii="Times New Roman" w:hAnsi="Times New Roman"/>
          <w:sz w:val="28"/>
        </w:rPr>
        <w:t>июня</w:t>
      </w:r>
      <w:r w:rsidRPr="002C31BD">
        <w:rPr>
          <w:rFonts w:ascii="Times New Roman" w:hAnsi="Times New Roman"/>
          <w:sz w:val="28"/>
        </w:rPr>
        <w:t xml:space="preserve"> 20</w:t>
      </w:r>
      <w:r w:rsidR="00181C65" w:rsidRPr="002C31BD">
        <w:rPr>
          <w:rFonts w:ascii="Times New Roman" w:hAnsi="Times New Roman"/>
          <w:sz w:val="28"/>
        </w:rPr>
        <w:t xml:space="preserve">19 года </w:t>
      </w:r>
      <w:r w:rsidRPr="002C31BD">
        <w:rPr>
          <w:rFonts w:ascii="Times New Roman" w:hAnsi="Times New Roman"/>
          <w:sz w:val="28"/>
        </w:rPr>
        <w:t xml:space="preserve">по </w:t>
      </w:r>
      <w:r w:rsidR="002006D2" w:rsidRPr="002C31BD">
        <w:rPr>
          <w:rFonts w:ascii="Times New Roman" w:hAnsi="Times New Roman"/>
          <w:sz w:val="28"/>
        </w:rPr>
        <w:t>"</w:t>
      </w:r>
      <w:r w:rsidR="00181C65" w:rsidRPr="002C31BD">
        <w:rPr>
          <w:rFonts w:ascii="Times New Roman" w:hAnsi="Times New Roman"/>
          <w:sz w:val="28"/>
        </w:rPr>
        <w:t>10</w:t>
      </w:r>
      <w:r w:rsidR="002006D2" w:rsidRPr="002C31BD">
        <w:rPr>
          <w:rFonts w:ascii="Times New Roman" w:hAnsi="Times New Roman"/>
          <w:sz w:val="28"/>
        </w:rPr>
        <w:t>"</w:t>
      </w:r>
      <w:r w:rsidRPr="002C31BD">
        <w:rPr>
          <w:rFonts w:ascii="Times New Roman" w:hAnsi="Times New Roman"/>
          <w:sz w:val="28"/>
        </w:rPr>
        <w:t xml:space="preserve"> </w:t>
      </w:r>
      <w:r w:rsidR="00181C65" w:rsidRPr="002C31BD">
        <w:rPr>
          <w:rFonts w:ascii="Times New Roman" w:hAnsi="Times New Roman"/>
          <w:sz w:val="28"/>
        </w:rPr>
        <w:t>июля</w:t>
      </w:r>
      <w:r w:rsidRPr="002C31BD">
        <w:rPr>
          <w:rFonts w:ascii="Times New Roman" w:hAnsi="Times New Roman"/>
          <w:sz w:val="28"/>
        </w:rPr>
        <w:t xml:space="preserve"> 20</w:t>
      </w:r>
      <w:r w:rsidR="00181C65" w:rsidRPr="002C31BD">
        <w:rPr>
          <w:rFonts w:ascii="Times New Roman" w:hAnsi="Times New Roman"/>
          <w:sz w:val="28"/>
        </w:rPr>
        <w:t>19</w:t>
      </w:r>
      <w:r w:rsidR="00AB43C2" w:rsidRPr="002C31BD">
        <w:rPr>
          <w:rFonts w:ascii="Times New Roman" w:hAnsi="Times New Roman"/>
          <w:sz w:val="28"/>
        </w:rPr>
        <w:t xml:space="preserve"> года </w:t>
      </w:r>
      <w:r w:rsidRPr="002C31BD">
        <w:rPr>
          <w:rFonts w:ascii="Times New Roman" w:hAnsi="Times New Roman"/>
          <w:sz w:val="28"/>
        </w:rPr>
        <w:t xml:space="preserve">проведены публичные консультации </w:t>
      </w:r>
      <w:r w:rsidR="00181C65" w:rsidRPr="002C31BD">
        <w:rPr>
          <w:rFonts w:ascii="Times New Roman" w:hAnsi="Times New Roman"/>
          <w:sz w:val="28"/>
        </w:rPr>
        <w:t xml:space="preserve">в целях оценки фактического воздействия </w:t>
      </w:r>
      <w:r w:rsidR="00181C65" w:rsidRPr="002C31BD">
        <w:rPr>
          <w:rFonts w:ascii="Times New Roman" w:hAnsi="Times New Roman"/>
          <w:sz w:val="28"/>
          <w:u w:val="single"/>
        </w:rPr>
        <w:t xml:space="preserve">постановления администрации города от 31.05.2017 №811 "О порядке принятия решений о заключении концессионных соглашений и порядке формирования перечня объектов, в отношении которых планируется заключение концессионных соглашений" </w:t>
      </w:r>
      <w:r w:rsidR="009E7BED">
        <w:rPr>
          <w:rFonts w:ascii="Times New Roman" w:hAnsi="Times New Roman"/>
          <w:sz w:val="28"/>
          <w:u w:val="single"/>
        </w:rPr>
        <w:t xml:space="preserve">            </w:t>
      </w:r>
      <w:r w:rsidR="00181C65" w:rsidRPr="002C31BD">
        <w:rPr>
          <w:rFonts w:ascii="Times New Roman" w:hAnsi="Times New Roman"/>
          <w:sz w:val="28"/>
          <w:u w:val="single"/>
        </w:rPr>
        <w:t>(с изменениями)</w:t>
      </w:r>
      <w:r w:rsidR="00991D56" w:rsidRPr="002C31BD">
        <w:rPr>
          <w:rFonts w:ascii="Times New Roman" w:hAnsi="Times New Roman"/>
          <w:sz w:val="28"/>
          <w:u w:val="single"/>
        </w:rPr>
        <w:t xml:space="preserve"> (далее – МНПА)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по которому проведены публичные консультации)</w:t>
      </w:r>
    </w:p>
    <w:p w:rsidR="00AB43C2" w:rsidRPr="00AB43C2" w:rsidRDefault="00AB43C2" w:rsidP="00AB43C2">
      <w:pPr>
        <w:pStyle w:val="ab"/>
        <w:rPr>
          <w:rFonts w:ascii="Times New Roman" w:hAnsi="Times New Roman"/>
          <w:sz w:val="24"/>
          <w:szCs w:val="24"/>
        </w:rPr>
      </w:pPr>
    </w:p>
    <w:p w:rsidR="0005694B" w:rsidRPr="002C31BD" w:rsidRDefault="0005694B" w:rsidP="00F7407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При проведении публичных консультаций направлены уведомления:</w:t>
      </w:r>
    </w:p>
    <w:p w:rsidR="0005694B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Нижневартовской Торгово-промышленной палате;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Ассоциации крестьянских (фермерских) хозяйств и кооперативов;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Ханты-Мансийскому региональному отделению Общероссийской общественной организации малого и среднего предпринимательства "Опора России";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АО "Горэлектросеть";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ЗАО "Нижневартовскстройдеталь";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АО "НижневартовскНИПИнефть";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ООО "Вариант";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Нижневартовскому отделению Союза архитекторов России;</w:t>
      </w:r>
    </w:p>
    <w:p w:rsidR="00AB43C2" w:rsidRPr="002C31BD" w:rsidRDefault="00AB43C2" w:rsidP="00AB43C2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Западно-Сибирской ассоциации строителей</w:t>
      </w:r>
      <w:r w:rsidR="003B6710" w:rsidRPr="002C31BD">
        <w:rPr>
          <w:rFonts w:ascii="Times New Roman" w:hAnsi="Times New Roman"/>
          <w:sz w:val="28"/>
          <w:szCs w:val="24"/>
        </w:rPr>
        <w:t>.</w:t>
      </w:r>
    </w:p>
    <w:p w:rsidR="0005694B" w:rsidRPr="002C31BD" w:rsidRDefault="0005694B" w:rsidP="00AB43C2">
      <w:pPr>
        <w:pStyle w:val="ab"/>
        <w:ind w:firstLine="709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 xml:space="preserve">                    </w:t>
      </w:r>
    </w:p>
    <w:p w:rsidR="0005694B" w:rsidRPr="002C31BD" w:rsidRDefault="0005694B" w:rsidP="00AB43C2">
      <w:pPr>
        <w:pStyle w:val="ab"/>
        <w:ind w:firstLine="709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При проведении публичных консультаций получены отзывы от:</w:t>
      </w:r>
    </w:p>
    <w:p w:rsidR="0005694B" w:rsidRPr="002C31BD" w:rsidRDefault="00F7407C" w:rsidP="00F7407C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АО "НижневартовскНИПИнефть";</w:t>
      </w:r>
    </w:p>
    <w:p w:rsidR="00F7407C" w:rsidRPr="002C31BD" w:rsidRDefault="00F7407C" w:rsidP="00F7407C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АО "Горэлектросеть".</w:t>
      </w:r>
    </w:p>
    <w:p w:rsidR="0005694B" w:rsidRPr="002C31BD" w:rsidRDefault="0005694B" w:rsidP="00AB43C2">
      <w:pPr>
        <w:pStyle w:val="ab"/>
        <w:ind w:firstLine="709"/>
        <w:rPr>
          <w:rFonts w:ascii="Times New Roman" w:hAnsi="Times New Roman"/>
          <w:sz w:val="28"/>
          <w:szCs w:val="24"/>
        </w:rPr>
      </w:pPr>
    </w:p>
    <w:p w:rsidR="0005694B" w:rsidRPr="002C31BD" w:rsidRDefault="0005694B" w:rsidP="00F7407C">
      <w:pPr>
        <w:pStyle w:val="ab"/>
        <w:ind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муниципального нормативного правового акта) отражены в таблице результатов публичных консультаций.</w:t>
      </w:r>
    </w:p>
    <w:p w:rsidR="0005694B" w:rsidRDefault="0005694B" w:rsidP="00F7407C">
      <w:pPr>
        <w:pStyle w:val="ab"/>
        <w:jc w:val="center"/>
        <w:rPr>
          <w:rFonts w:ascii="Times New Roman" w:hAnsi="Times New Roman"/>
        </w:rPr>
      </w:pPr>
    </w:p>
    <w:p w:rsidR="009E7BED" w:rsidRDefault="009E7BED" w:rsidP="00F7407C">
      <w:pPr>
        <w:pStyle w:val="ab"/>
        <w:jc w:val="center"/>
        <w:rPr>
          <w:rFonts w:ascii="Times New Roman" w:hAnsi="Times New Roman"/>
        </w:rPr>
      </w:pPr>
    </w:p>
    <w:p w:rsidR="009E7BED" w:rsidRDefault="009E7BED" w:rsidP="00F7407C">
      <w:pPr>
        <w:pStyle w:val="ab"/>
        <w:jc w:val="center"/>
        <w:rPr>
          <w:rFonts w:ascii="Times New Roman" w:hAnsi="Times New Roman"/>
        </w:rPr>
      </w:pPr>
    </w:p>
    <w:p w:rsidR="009E7BED" w:rsidRPr="00F7407C" w:rsidRDefault="009E7BED" w:rsidP="00F7407C">
      <w:pPr>
        <w:pStyle w:val="ab"/>
        <w:jc w:val="center"/>
        <w:rPr>
          <w:rFonts w:ascii="Times New Roman" w:hAnsi="Times New Roman"/>
        </w:rPr>
      </w:pPr>
    </w:p>
    <w:p w:rsidR="0005694B" w:rsidRPr="00F7407C" w:rsidRDefault="0005694B" w:rsidP="00F740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7407C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05694B" w:rsidRPr="00F7407C" w:rsidRDefault="0005694B" w:rsidP="00F7407C">
      <w:pPr>
        <w:pStyle w:val="ab"/>
        <w:jc w:val="center"/>
        <w:rPr>
          <w:rFonts w:ascii="Times New Roman" w:hAnsi="Times New Roman"/>
          <w:b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F7407C" w:rsidTr="00F7407C">
        <w:trPr>
          <w:trHeight w:val="326"/>
          <w:jc w:val="center"/>
        </w:trPr>
        <w:tc>
          <w:tcPr>
            <w:tcW w:w="9527" w:type="dxa"/>
            <w:gridSpan w:val="3"/>
            <w:shd w:val="clear" w:color="auto" w:fill="auto"/>
          </w:tcPr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наименование субъекта публичных</w:t>
            </w:r>
          </w:p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позиция регулирующего</w:t>
            </w:r>
          </w:p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органа или органа,</w:t>
            </w:r>
          </w:p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осуществляющего</w:t>
            </w:r>
          </w:p>
          <w:p w:rsidR="0005694B" w:rsidRPr="00F7407C" w:rsidRDefault="0005694B" w:rsidP="00F7407C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07C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05694B" w:rsidRPr="00F7407C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Нижневартовская Торгово-промышленная палата</w:t>
            </w:r>
          </w:p>
        </w:tc>
        <w:tc>
          <w:tcPr>
            <w:tcW w:w="3656" w:type="dxa"/>
            <w:shd w:val="clear" w:color="auto" w:fill="auto"/>
          </w:tcPr>
          <w:p w:rsidR="0005694B" w:rsidRPr="00F7407C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05694B" w:rsidRPr="00F7407C" w:rsidRDefault="003B6710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крестьянских (фермерских) хозяйств и кооперативов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Ханты-Мансийское региональное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"Горэлектросеть"</w:t>
            </w:r>
          </w:p>
        </w:tc>
        <w:tc>
          <w:tcPr>
            <w:tcW w:w="3656" w:type="dxa"/>
            <w:shd w:val="clear" w:color="auto" w:fill="auto"/>
          </w:tcPr>
          <w:p w:rsidR="003B6710" w:rsidRDefault="009C5ACE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C5ACE">
              <w:rPr>
                <w:rFonts w:ascii="Times New Roman" w:hAnsi="Times New Roman"/>
                <w:sz w:val="24"/>
                <w:szCs w:val="24"/>
              </w:rPr>
              <w:t>Отсутствие единого стандарта организации работ по привлечению инвестиций муниципального образования и региона в целом. Привлечение инвестиций в экономику муниципального образования является одной из наиболее важных задач, решение которой позволит достичь динамичного социально-экономического развития территории. Инвестиционная политика муниципального образования напрямую зависит от политики региона. Поэтому необходима теснейшая взаимосвязь между региональной и муниципальной инвестиционной политикой.</w:t>
            </w:r>
          </w:p>
          <w:p w:rsidR="009C5ACE" w:rsidRDefault="009C5ACE" w:rsidP="000A140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C5ACE">
              <w:rPr>
                <w:rFonts w:ascii="Times New Roman" w:hAnsi="Times New Roman"/>
                <w:sz w:val="24"/>
                <w:szCs w:val="24"/>
              </w:rPr>
              <w:t xml:space="preserve">Помимо нормативно-правовой базы одним из важных направлений инвестиционной привлекательности муниципального образования является маркетинг территории, или улучшение ее </w:t>
            </w:r>
            <w:r w:rsidR="000A140A">
              <w:rPr>
                <w:rFonts w:ascii="Times New Roman" w:hAnsi="Times New Roman"/>
                <w:sz w:val="24"/>
                <w:szCs w:val="24"/>
              </w:rPr>
              <w:t>"</w:t>
            </w:r>
            <w:r w:rsidRPr="009C5ACE">
              <w:rPr>
                <w:rFonts w:ascii="Times New Roman" w:hAnsi="Times New Roman"/>
                <w:sz w:val="24"/>
                <w:szCs w:val="24"/>
              </w:rPr>
              <w:t>инвестиционного имиджа</w:t>
            </w:r>
            <w:r w:rsidR="000A140A">
              <w:rPr>
                <w:rFonts w:ascii="Times New Roman" w:hAnsi="Times New Roman"/>
                <w:sz w:val="24"/>
                <w:szCs w:val="24"/>
              </w:rPr>
              <w:t>"</w:t>
            </w:r>
            <w:r w:rsidRPr="009C5ACE">
              <w:rPr>
                <w:rFonts w:ascii="Times New Roman" w:hAnsi="Times New Roman"/>
                <w:sz w:val="24"/>
                <w:szCs w:val="24"/>
              </w:rPr>
              <w:t xml:space="preserve"> в глазах потенциальных инвесторов. В основополагающих муниципальных актах данному направлению должно уделяться особое внимание.</w:t>
            </w:r>
          </w:p>
        </w:tc>
        <w:tc>
          <w:tcPr>
            <w:tcW w:w="3182" w:type="dxa"/>
            <w:shd w:val="clear" w:color="auto" w:fill="auto"/>
          </w:tcPr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С целью создания благоприятных условий для привлечения частных инвестиций в экономику Ханты-Мансийского автономного округа – Югры (далее – автономный округ) на территории автономного округа: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- определены формы государственной поддержки инвестиционной деятельности органами государственной вла</w:t>
            </w:r>
            <w:r>
              <w:rPr>
                <w:rFonts w:ascii="Times New Roman" w:hAnsi="Times New Roman"/>
                <w:sz w:val="24"/>
                <w:szCs w:val="24"/>
              </w:rPr>
              <w:t>сти автономного округа, пол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номочия органов государственной власт</w:t>
            </w:r>
            <w:r>
              <w:rPr>
                <w:rFonts w:ascii="Times New Roman" w:hAnsi="Times New Roman"/>
                <w:sz w:val="24"/>
                <w:szCs w:val="24"/>
              </w:rPr>
              <w:t>и автономного округа в сфере ин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вестиционной деятельности;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 xml:space="preserve">- разработан Инвестиционный портал автономного округа (http://investugra.ru/rus/), на котором </w:t>
            </w:r>
            <w:r>
              <w:rPr>
                <w:rFonts w:ascii="Times New Roman" w:hAnsi="Times New Roman"/>
                <w:sz w:val="24"/>
                <w:szCs w:val="24"/>
              </w:rPr>
              <w:t>размещена информация об инвести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ционных площадках, а также планир</w:t>
            </w:r>
            <w:r>
              <w:rPr>
                <w:rFonts w:ascii="Times New Roman" w:hAnsi="Times New Roman"/>
                <w:sz w:val="24"/>
                <w:szCs w:val="24"/>
              </w:rPr>
              <w:t>уемых, реализуемых и реализован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ных инвестиционных проектах на территории автономного округа.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Инвестиционная декларация города Нижневартовска разработана в целях обеспечения благоприятного инвестиционного климата и создания условий для привлечения инвестиций в экономику города Нижневартовска и устанавливает принципы взаимодейст</w:t>
            </w:r>
            <w:r>
              <w:rPr>
                <w:rFonts w:ascii="Times New Roman" w:hAnsi="Times New Roman"/>
                <w:sz w:val="24"/>
                <w:szCs w:val="24"/>
              </w:rPr>
              <w:t>вия администрации города с субъ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 xml:space="preserve">ектами предпринимательской и инвестиционной деятельности. 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По улучшению инвестиционного климата на территории города Нижневартовска администрацией города Нижневартовска разработан план мероприятий ("дорожная карта").</w:t>
            </w:r>
          </w:p>
          <w:p w:rsidR="00173C45" w:rsidRPr="00173C45" w:rsidRDefault="00173C45" w:rsidP="00173C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45">
              <w:rPr>
                <w:rFonts w:ascii="Times New Roman" w:hAnsi="Times New Roman"/>
                <w:sz w:val="24"/>
                <w:szCs w:val="24"/>
              </w:rPr>
              <w:t>Для снижения административных барьеров при реализации инвестиционных проектов разработаны и действуют:</w:t>
            </w:r>
          </w:p>
          <w:p w:rsidR="00C81116" w:rsidRPr="00C81116" w:rsidRDefault="00173C45" w:rsidP="00173C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45">
              <w:rPr>
                <w:rFonts w:ascii="Times New Roman" w:hAnsi="Times New Roman"/>
                <w:sz w:val="24"/>
                <w:szCs w:val="24"/>
              </w:rPr>
              <w:t xml:space="preserve">- регламент сопровождения инвестиционных проектов по принципу "одного окна" в Ханты-Мансийском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автономном округе - Югре, утвер</w:t>
            </w:r>
            <w:r w:rsidRPr="00173C45">
              <w:rPr>
                <w:rFonts w:ascii="Times New Roman" w:hAnsi="Times New Roman"/>
                <w:sz w:val="24"/>
                <w:szCs w:val="24"/>
              </w:rPr>
              <w:t>жденный Постановлением Правительства Ханты-Мансийско</w:t>
            </w:r>
            <w:r>
              <w:rPr>
                <w:rFonts w:ascii="Times New Roman" w:hAnsi="Times New Roman"/>
                <w:sz w:val="24"/>
                <w:szCs w:val="24"/>
              </w:rPr>
              <w:t>го автономно</w:t>
            </w:r>
            <w:r w:rsidRPr="00173C45">
              <w:rPr>
                <w:rFonts w:ascii="Times New Roman" w:hAnsi="Times New Roman"/>
                <w:sz w:val="24"/>
                <w:szCs w:val="24"/>
              </w:rPr>
              <w:t>го округа – Югры от 27.12.2013 №590-п (с изменениями)</w:t>
            </w:r>
            <w:r w:rsidR="00C81116" w:rsidRPr="00C811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 xml:space="preserve"> - регламент сопровождения инвестиционных проектов по принципу "одного окна" на территории города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Нижневартовска, утвержденный по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становлением администрации города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31.10.2017 № 1601 (с изменения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ми).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Главным принципом развития инв</w:t>
            </w:r>
            <w:r>
              <w:rPr>
                <w:rFonts w:ascii="Times New Roman" w:hAnsi="Times New Roman"/>
                <w:sz w:val="24"/>
                <w:szCs w:val="24"/>
              </w:rPr>
              <w:t>естиционной деятельности, в кон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тексте эффективности взаимодействия ор</w:t>
            </w:r>
            <w:r>
              <w:rPr>
                <w:rFonts w:ascii="Times New Roman" w:hAnsi="Times New Roman"/>
                <w:sz w:val="24"/>
                <w:szCs w:val="24"/>
              </w:rPr>
              <w:t>ганов власти с инвесторами явля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ется ее открытость. Для ее обеспечения администрацией города: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lastRenderedPageBreak/>
              <w:t>- создан и активно функционирует Инвестиционный портал города Нижневартовска (https://invest.n-vartovsk.ru/city/175879), обеспечивающий наглядное представление об инвестицио</w:t>
            </w:r>
            <w:r>
              <w:rPr>
                <w:rFonts w:ascii="Times New Roman" w:hAnsi="Times New Roman"/>
                <w:sz w:val="24"/>
                <w:szCs w:val="24"/>
              </w:rPr>
              <w:t>нных возможностях города, состо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янии инфраструктуры, направлениях ин</w:t>
            </w:r>
            <w:r>
              <w:rPr>
                <w:rFonts w:ascii="Times New Roman" w:hAnsi="Times New Roman"/>
                <w:sz w:val="24"/>
                <w:szCs w:val="24"/>
              </w:rPr>
              <w:t>вестирования в экономику и в ко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тором размещаются нормативные пр</w:t>
            </w:r>
            <w:r>
              <w:rPr>
                <w:rFonts w:ascii="Times New Roman" w:hAnsi="Times New Roman"/>
                <w:sz w:val="24"/>
                <w:szCs w:val="24"/>
              </w:rPr>
              <w:t>авовые акты по вопросам предпри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деятельности;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- утвержден инвестиционный пас</w:t>
            </w:r>
            <w:r>
              <w:rPr>
                <w:rFonts w:ascii="Times New Roman" w:hAnsi="Times New Roman"/>
                <w:sz w:val="24"/>
                <w:szCs w:val="24"/>
              </w:rPr>
              <w:t>порт города Нижневартовска по со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стоянию на 01.01.2019 в русскоязычной и англоязычной версиях, который размещен на Инвестиционном портале города Нижневартовска;</w:t>
            </w:r>
          </w:p>
          <w:p w:rsidR="00C81116" w:rsidRPr="00C81116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- ежегодно утверждается перечень объектов, в отношении которых планируется заключение концессионных соглашений. Данный перечень размещается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официальном сайте органов местного самоуправления города Нижневартовска (www.n-vartovsk.ru).</w:t>
            </w:r>
          </w:p>
          <w:p w:rsidR="003B6710" w:rsidRDefault="00C81116" w:rsidP="00C8111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6">
              <w:rPr>
                <w:rFonts w:ascii="Times New Roman" w:hAnsi="Times New Roman"/>
                <w:sz w:val="24"/>
                <w:szCs w:val="24"/>
              </w:rPr>
              <w:t>В связи с тем, что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ый нормативный правовой акт раз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работан в соответствии с Федеральным законом от 21.07.2005 №115-ФЗ                   "О концессионных соглашениях" с цел</w:t>
            </w:r>
            <w:r>
              <w:rPr>
                <w:rFonts w:ascii="Times New Roman" w:hAnsi="Times New Roman"/>
                <w:sz w:val="24"/>
                <w:szCs w:val="24"/>
              </w:rPr>
              <w:t>ью правового регулирования инве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стиционной дея</w:t>
            </w:r>
            <w:r w:rsidRPr="00C81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тельности на территории города Нижневартовска, </w:t>
            </w:r>
            <w:r>
              <w:rPr>
                <w:rFonts w:ascii="Times New Roman" w:hAnsi="Times New Roman"/>
                <w:sz w:val="24"/>
                <w:szCs w:val="24"/>
              </w:rPr>
              <w:t>необхо</w:t>
            </w:r>
            <w:r w:rsidRPr="00C81116">
              <w:rPr>
                <w:rFonts w:ascii="Times New Roman" w:hAnsi="Times New Roman"/>
                <w:sz w:val="24"/>
                <w:szCs w:val="24"/>
              </w:rPr>
              <w:t>димость отмены или внесения изменений в муниципальный нормативный правовой акт отсутствует.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 "Нижневартовскстройдеталь"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BC23F4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"Нижневартовск</w:t>
            </w:r>
            <w:r w:rsidR="003B6710">
              <w:rPr>
                <w:rFonts w:ascii="Times New Roman" w:hAnsi="Times New Roman"/>
                <w:sz w:val="24"/>
                <w:szCs w:val="24"/>
              </w:rPr>
              <w:t>НИПИнефть"</w:t>
            </w:r>
          </w:p>
        </w:tc>
        <w:tc>
          <w:tcPr>
            <w:tcW w:w="3656" w:type="dxa"/>
            <w:shd w:val="clear" w:color="auto" w:fill="auto"/>
          </w:tcPr>
          <w:p w:rsidR="003B6710" w:rsidRDefault="009C5ACE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(замечания) отсутствуют</w:t>
            </w:r>
          </w:p>
        </w:tc>
        <w:tc>
          <w:tcPr>
            <w:tcW w:w="3182" w:type="dxa"/>
            <w:shd w:val="clear" w:color="auto" w:fill="auto"/>
          </w:tcPr>
          <w:p w:rsidR="003B6710" w:rsidRDefault="009C5ACE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"Вариант"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Нижневартовское отделение Союза архитекторов России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6710" w:rsidRPr="00F7407C" w:rsidTr="00F7407C">
        <w:trPr>
          <w:jc w:val="center"/>
        </w:trPr>
        <w:tc>
          <w:tcPr>
            <w:tcW w:w="2689" w:type="dxa"/>
            <w:shd w:val="clear" w:color="auto" w:fill="auto"/>
          </w:tcPr>
          <w:p w:rsidR="003B6710" w:rsidRDefault="003B6710" w:rsidP="003B67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Западно-Сибирской ассоциация строителей</w:t>
            </w:r>
          </w:p>
        </w:tc>
        <w:tc>
          <w:tcPr>
            <w:tcW w:w="3656" w:type="dxa"/>
            <w:shd w:val="clear" w:color="auto" w:fill="auto"/>
          </w:tcPr>
          <w:p w:rsidR="003B6710" w:rsidRDefault="003B6710" w:rsidP="009C5AC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уведомление о проведении публичных консультаций по МНПА не поступил</w:t>
            </w:r>
          </w:p>
        </w:tc>
        <w:tc>
          <w:tcPr>
            <w:tcW w:w="3182" w:type="dxa"/>
            <w:shd w:val="clear" w:color="auto" w:fill="auto"/>
          </w:tcPr>
          <w:p w:rsidR="003B6710" w:rsidRDefault="00DD33A5" w:rsidP="003B671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2C31BD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Приложение:</w:t>
      </w:r>
    </w:p>
    <w:p w:rsidR="0005694B" w:rsidRPr="002C31BD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 xml:space="preserve">1. </w:t>
      </w:r>
      <w:r w:rsidR="008C6FFE" w:rsidRPr="002C31BD">
        <w:rPr>
          <w:rFonts w:ascii="Times New Roman" w:hAnsi="Times New Roman"/>
          <w:sz w:val="28"/>
          <w:szCs w:val="24"/>
        </w:rPr>
        <w:t>Копии уведомлений о проведении публичных консультаций на 23 л. в 1 экз</w:t>
      </w:r>
      <w:r w:rsidRPr="002C31BD">
        <w:rPr>
          <w:rFonts w:ascii="Times New Roman" w:hAnsi="Times New Roman"/>
          <w:sz w:val="28"/>
          <w:szCs w:val="24"/>
        </w:rPr>
        <w:t>.</w:t>
      </w:r>
    </w:p>
    <w:p w:rsidR="0005694B" w:rsidRPr="002C31BD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C31BD">
        <w:rPr>
          <w:rFonts w:ascii="Times New Roman" w:hAnsi="Times New Roman"/>
          <w:sz w:val="28"/>
          <w:szCs w:val="24"/>
        </w:rPr>
        <w:t>2. Копии отзывов участников публичных ко</w:t>
      </w:r>
      <w:r w:rsidR="008C6FFE" w:rsidRPr="002C31BD">
        <w:rPr>
          <w:rFonts w:ascii="Times New Roman" w:hAnsi="Times New Roman"/>
          <w:sz w:val="28"/>
          <w:szCs w:val="24"/>
        </w:rPr>
        <w:t>нсультаций на 4 л. в 1 экз.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2C31B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D6" w:rsidRDefault="00731DD6" w:rsidP="00A14D14">
      <w:pPr>
        <w:spacing w:after="0" w:line="240" w:lineRule="auto"/>
      </w:pPr>
      <w:r>
        <w:separator/>
      </w:r>
    </w:p>
  </w:endnote>
  <w:endnote w:type="continuationSeparator" w:id="0">
    <w:p w:rsidR="00731DD6" w:rsidRDefault="00731DD6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D6" w:rsidRDefault="00731DD6" w:rsidP="00A14D14">
      <w:pPr>
        <w:spacing w:after="0" w:line="240" w:lineRule="auto"/>
      </w:pPr>
      <w:r>
        <w:separator/>
      </w:r>
    </w:p>
  </w:footnote>
  <w:footnote w:type="continuationSeparator" w:id="0">
    <w:p w:rsidR="00731DD6" w:rsidRDefault="00731DD6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383" w:rsidRPr="00770301" w:rsidRDefault="000E7383">
    <w:pPr>
      <w:pStyle w:val="a3"/>
      <w:jc w:val="center"/>
      <w:rPr>
        <w:rFonts w:ascii="Times New Roman" w:hAnsi="Times New Roman"/>
        <w:sz w:val="24"/>
        <w:szCs w:val="24"/>
      </w:rPr>
    </w:pPr>
    <w:r w:rsidRPr="00770301">
      <w:rPr>
        <w:rFonts w:ascii="Times New Roman" w:hAnsi="Times New Roman"/>
        <w:sz w:val="24"/>
        <w:szCs w:val="24"/>
      </w:rPr>
      <w:fldChar w:fldCharType="begin"/>
    </w:r>
    <w:r w:rsidRPr="00770301">
      <w:rPr>
        <w:rFonts w:ascii="Times New Roman" w:hAnsi="Times New Roman"/>
        <w:sz w:val="24"/>
        <w:szCs w:val="24"/>
      </w:rPr>
      <w:instrText>PAGE   \* MERGEFORMAT</w:instrText>
    </w:r>
    <w:r w:rsidRPr="00770301">
      <w:rPr>
        <w:rFonts w:ascii="Times New Roman" w:hAnsi="Times New Roman"/>
        <w:sz w:val="24"/>
        <w:szCs w:val="24"/>
      </w:rPr>
      <w:fldChar w:fldCharType="separate"/>
    </w:r>
    <w:r w:rsidR="0095084A">
      <w:rPr>
        <w:rFonts w:ascii="Times New Roman" w:hAnsi="Times New Roman"/>
        <w:noProof/>
        <w:sz w:val="24"/>
        <w:szCs w:val="24"/>
      </w:rPr>
      <w:t>2</w:t>
    </w:r>
    <w:r w:rsidRPr="0077030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D78"/>
    <w:multiLevelType w:val="hybridMultilevel"/>
    <w:tmpl w:val="BE86C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0B39CC"/>
    <w:multiLevelType w:val="hybridMultilevel"/>
    <w:tmpl w:val="00DE9016"/>
    <w:lvl w:ilvl="0" w:tplc="EE1AED66">
      <w:start w:val="1"/>
      <w:numFmt w:val="decimal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F005A0E"/>
    <w:multiLevelType w:val="hybridMultilevel"/>
    <w:tmpl w:val="09E87606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62C15393"/>
    <w:multiLevelType w:val="hybridMultilevel"/>
    <w:tmpl w:val="01822888"/>
    <w:lvl w:ilvl="0" w:tplc="EE1AED6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DF0238"/>
    <w:multiLevelType w:val="hybridMultilevel"/>
    <w:tmpl w:val="D26C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773F4"/>
    <w:rsid w:val="00091803"/>
    <w:rsid w:val="000A140A"/>
    <w:rsid w:val="000E7383"/>
    <w:rsid w:val="000F25CE"/>
    <w:rsid w:val="000F5486"/>
    <w:rsid w:val="001015BF"/>
    <w:rsid w:val="00115885"/>
    <w:rsid w:val="0015448F"/>
    <w:rsid w:val="00173C45"/>
    <w:rsid w:val="00181C65"/>
    <w:rsid w:val="001A02B5"/>
    <w:rsid w:val="001C4AC1"/>
    <w:rsid w:val="001D0D54"/>
    <w:rsid w:val="001E33E9"/>
    <w:rsid w:val="002006D2"/>
    <w:rsid w:val="002146C4"/>
    <w:rsid w:val="00242544"/>
    <w:rsid w:val="00246129"/>
    <w:rsid w:val="00251BF7"/>
    <w:rsid w:val="00282CF8"/>
    <w:rsid w:val="00286809"/>
    <w:rsid w:val="00293B3A"/>
    <w:rsid w:val="002A0696"/>
    <w:rsid w:val="002A17D8"/>
    <w:rsid w:val="002A2CA3"/>
    <w:rsid w:val="002C31BD"/>
    <w:rsid w:val="002C75C4"/>
    <w:rsid w:val="002E4804"/>
    <w:rsid w:val="00337362"/>
    <w:rsid w:val="00356826"/>
    <w:rsid w:val="00396085"/>
    <w:rsid w:val="003A3500"/>
    <w:rsid w:val="003A4F69"/>
    <w:rsid w:val="003B6710"/>
    <w:rsid w:val="003C1036"/>
    <w:rsid w:val="003C1D05"/>
    <w:rsid w:val="003F1D6C"/>
    <w:rsid w:val="0042257F"/>
    <w:rsid w:val="00457F19"/>
    <w:rsid w:val="00461903"/>
    <w:rsid w:val="00497A6A"/>
    <w:rsid w:val="004C174E"/>
    <w:rsid w:val="004C3159"/>
    <w:rsid w:val="004C6A29"/>
    <w:rsid w:val="004E226F"/>
    <w:rsid w:val="004F7FCD"/>
    <w:rsid w:val="00507DD4"/>
    <w:rsid w:val="0051720D"/>
    <w:rsid w:val="00520515"/>
    <w:rsid w:val="00586752"/>
    <w:rsid w:val="005E2E4D"/>
    <w:rsid w:val="0064665C"/>
    <w:rsid w:val="00681107"/>
    <w:rsid w:val="006811EF"/>
    <w:rsid w:val="0068613F"/>
    <w:rsid w:val="007039A6"/>
    <w:rsid w:val="00715D10"/>
    <w:rsid w:val="00731DD6"/>
    <w:rsid w:val="00747545"/>
    <w:rsid w:val="00770301"/>
    <w:rsid w:val="00786948"/>
    <w:rsid w:val="007E16E4"/>
    <w:rsid w:val="0080097B"/>
    <w:rsid w:val="00811F99"/>
    <w:rsid w:val="00815DB9"/>
    <w:rsid w:val="00841666"/>
    <w:rsid w:val="008703C8"/>
    <w:rsid w:val="008715C5"/>
    <w:rsid w:val="00873CF1"/>
    <w:rsid w:val="00892B19"/>
    <w:rsid w:val="00894B5A"/>
    <w:rsid w:val="008A69C0"/>
    <w:rsid w:val="008B1EA4"/>
    <w:rsid w:val="008C6486"/>
    <w:rsid w:val="008C6FFE"/>
    <w:rsid w:val="00937B5A"/>
    <w:rsid w:val="0095084A"/>
    <w:rsid w:val="00976FBA"/>
    <w:rsid w:val="00984EEF"/>
    <w:rsid w:val="00991D56"/>
    <w:rsid w:val="009C29B0"/>
    <w:rsid w:val="009C50C5"/>
    <w:rsid w:val="009C5ACE"/>
    <w:rsid w:val="009D0631"/>
    <w:rsid w:val="009E30BF"/>
    <w:rsid w:val="009E7BED"/>
    <w:rsid w:val="00A14D14"/>
    <w:rsid w:val="00A20890"/>
    <w:rsid w:val="00A7095A"/>
    <w:rsid w:val="00AB43C2"/>
    <w:rsid w:val="00AE2287"/>
    <w:rsid w:val="00B21B0F"/>
    <w:rsid w:val="00B423DD"/>
    <w:rsid w:val="00B61D91"/>
    <w:rsid w:val="00B7228D"/>
    <w:rsid w:val="00B968A8"/>
    <w:rsid w:val="00BC23F4"/>
    <w:rsid w:val="00BD30A4"/>
    <w:rsid w:val="00BE7795"/>
    <w:rsid w:val="00C00ADE"/>
    <w:rsid w:val="00C12703"/>
    <w:rsid w:val="00C16155"/>
    <w:rsid w:val="00C81116"/>
    <w:rsid w:val="00C8682C"/>
    <w:rsid w:val="00CA27EB"/>
    <w:rsid w:val="00D7508E"/>
    <w:rsid w:val="00D93E37"/>
    <w:rsid w:val="00DA7D99"/>
    <w:rsid w:val="00DC0055"/>
    <w:rsid w:val="00DC2AD8"/>
    <w:rsid w:val="00DD33A5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14C6F"/>
    <w:rsid w:val="00F32E15"/>
    <w:rsid w:val="00F678CD"/>
    <w:rsid w:val="00F70A79"/>
    <w:rsid w:val="00F7407C"/>
    <w:rsid w:val="00FA7E5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21A74B-AD7E-413C-BCBB-C68EB84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69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B43C2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9C5A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Брыль Наталья Петровна</dc:creator>
  <cp:keywords/>
  <cp:lastModifiedBy>Баштанник Наталья Григорьевна</cp:lastModifiedBy>
  <cp:revision>2</cp:revision>
  <cp:lastPrinted>2019-07-15T11:37:00Z</cp:lastPrinted>
  <dcterms:created xsi:type="dcterms:W3CDTF">2019-08-02T09:08:00Z</dcterms:created>
  <dcterms:modified xsi:type="dcterms:W3CDTF">2019-08-02T09:08:00Z</dcterms:modified>
</cp:coreProperties>
</file>