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5103"/>
        <w:jc w:val="right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5103"/>
        <w:jc w:val="right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5103"/>
        <w:jc w:val="right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5103"/>
        <w:jc w:val="right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ПРОЕКТ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ind w:right="5103"/>
        <w:jc w:val="both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5103"/>
        <w:jc w:val="both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внесении изменения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  <w:t xml:space="preserve">в постановление администрации города от 08.08.2024 №672 "Об утверждении муниципальной программы "Развитие образования города Нижневартовска"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  <w:t xml:space="preserve">(с изменениями от 13.01.2025 №18, 19.06.2025 №537, 17.11.2025 №1043, 27.02.2026 №138, 25.05.2026 №459)</w:t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5103"/>
        <w:jc w:val="both"/>
        <w:spacing w:after="0" w:line="240" w:lineRule="auto"/>
        <w:tabs>
          <w:tab w:val="left" w:pos="993" w:leader="none"/>
          <w:tab w:val="left" w:pos="184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В целях приведения муниципальной программы "Развитие образования города Нижневартовска" в соответствие с </w:t>
      </w:r>
      <w:r>
        <w:rPr>
          <w:rFonts w:ascii="Times New Roman" w:hAnsi="Times New Roman"/>
          <w:sz w:val="28"/>
          <w:szCs w:val="28"/>
        </w:rPr>
        <w:t xml:space="preserve">бюджетом города Нижневартовска на 2026 год, </w:t>
      </w:r>
      <w:r>
        <w:rPr>
          <w:rFonts w:ascii="Times New Roman" w:hAnsi="Times New Roman"/>
          <w:color w:val="000000"/>
          <w:sz w:val="28"/>
          <w:szCs w:val="28"/>
        </w:rPr>
        <w:t xml:space="preserve">решением Думы города от 09.12.2025 №618 </w:t>
      </w:r>
      <w:r>
        <w:rPr>
          <w:rFonts w:ascii="Times New Roman" w:hAnsi="Times New Roman"/>
          <w:color w:val="000000"/>
          <w:sz w:val="28"/>
        </w:rPr>
        <w:t xml:space="preserve">"О бюджете города Нижневартовска на 2026 год и на плановый период 2027 и 2028 годов":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изменение в постановление администрации города от 08.08.2024 №672 "Об утверждении муниципальной программы "Развитие образования города Нижневартовска"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(с изменениями от 13.01.2025 №18, 19.06.2025 №537,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17.11.2025 №1043, 27.02.2026 №138,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25.05.2026 №459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),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зложив приложение </w:t>
      </w:r>
      <w:r>
        <w:rPr>
          <w:rFonts w:ascii="Times New Roman" w:hAnsi="Times New Roman"/>
          <w:sz w:val="28"/>
          <w:szCs w:val="28"/>
        </w:rPr>
        <w:t xml:space="preserve">в новой редакции согласно приложению к настоящему постановлению.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Постановление вступает в силу после его официального опубликования.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Глава города                                                                                          </w:t>
      </w:r>
      <w:r>
        <w:rPr>
          <w:rFonts w:ascii="Times New Roman" w:hAnsi="Times New Roman" w:eastAsia="Times New Roman"/>
          <w:sz w:val="28"/>
          <w:lang w:eastAsia="ru-RU"/>
        </w:rPr>
        <w:t xml:space="preserve">Д.А. Кощенко</w:t>
      </w:r>
      <w:r>
        <w:rPr>
          <w:rFonts w:ascii="Times New Roman" w:hAnsi="Times New Roman" w:eastAsia="Times New Roman"/>
          <w:sz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lang w:eastAsia="ru-RU"/>
        </w:rPr>
      </w:pPr>
      <w:r>
        <w:rPr>
          <w:rFonts w:ascii="Times New Roman" w:hAnsi="Times New Roman" w:eastAsia="Times New Roman"/>
          <w:sz w:val="28"/>
          <w:lang w:eastAsia="ru-RU"/>
        </w:rPr>
      </w:r>
      <w:r>
        <w:rPr>
          <w:rFonts w:ascii="Times New Roman" w:hAnsi="Times New Roman" w:eastAsia="Times New Roman"/>
          <w:sz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lang w:eastAsia="ru-RU"/>
        </w:rPr>
      </w:pPr>
      <w:r>
        <w:rPr>
          <w:rFonts w:ascii="Times New Roman" w:hAnsi="Times New Roman" w:eastAsia="Times New Roman"/>
          <w:sz w:val="28"/>
          <w:lang w:eastAsia="ru-RU"/>
        </w:rPr>
      </w:r>
      <w:r>
        <w:rPr>
          <w:rFonts w:ascii="Times New Roman" w:hAnsi="Times New Roman" w:eastAsia="Times New Roman"/>
          <w:sz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lang w:eastAsia="ru-RU"/>
        </w:rPr>
      </w:pPr>
      <w:r>
        <w:rPr>
          <w:rFonts w:ascii="Times New Roman" w:hAnsi="Times New Roman" w:eastAsia="Times New Roman"/>
          <w:sz w:val="28"/>
          <w:lang w:eastAsia="ru-RU"/>
        </w:rPr>
      </w:r>
      <w:r>
        <w:rPr>
          <w:rFonts w:ascii="Times New Roman" w:hAnsi="Times New Roman" w:eastAsia="Times New Roman"/>
          <w:sz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lang w:eastAsia="ru-RU"/>
        </w:rPr>
        <w:sectPr>
          <w:headerReference w:type="default" r:id="rId9"/>
          <w:footnotePr>
            <w:pos w:val="beneathText"/>
          </w:footnotePr>
          <w:endnotePr>
            <w:numFmt w:val="decimal"/>
          </w:endnotePr>
          <w:type w:val="nextPage"/>
          <w:pgSz w:w="11906" w:h="16838" w:orient="portrait"/>
          <w:pgMar w:top="1134" w:right="567" w:bottom="1134" w:left="1701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/>
          <w:sz w:val="28"/>
          <w:lang w:eastAsia="ru-RU"/>
        </w:rPr>
      </w:r>
      <w:r>
        <w:rPr>
          <w:rFonts w:ascii="Times New Roman" w:hAnsi="Times New Roman" w:eastAsia="Times New Roman"/>
          <w:sz w:val="28"/>
          <w:lang w:eastAsia="ru-RU"/>
        </w:rPr>
      </w:r>
    </w:p>
    <w:p>
      <w:pPr>
        <w:ind w:left="10885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Приложение к постановлению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10885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администрации горо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да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10177"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           №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Муниципальная программа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"Развитие образования города Нижневартовска"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Паспорт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муниципальной программы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"Развитие образования города Нижневартовска"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1. Основные положения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tbl>
      <w:tblPr>
        <w:tblW w:w="14601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655"/>
      </w:tblGrid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Куратор муниципальной программы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города по социальной политике 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исполнитель муниципальной программы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Период реализации муниципальной программы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2025-2036 годы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 муниципальной программы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Обеспечение доступности качественного образования в соответствии             с требованиями современной образовательной политики и потребностями личности. </w:t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Формирование эффективной системы выявления, поддержки и развития способностей и талантов у детей и молодежи. </w:t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3. Формирование позитивного мышления, принципов здорового образа жизни, предупреждение деструктивного (виктимного) поведения обучающихся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Направления (подпрограммы) муниципальной программы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Общее образование.</w:t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/>
            <w:hyperlink w:tooltip="3." w:anchor="Par440" w:history="1">
              <w:r>
                <w:rPr>
                  <w:rStyle w:val="733"/>
                  <w:rFonts w:ascii="Times New Roman" w:hAnsi="Times New Roman"/>
                  <w:color w:val="000000"/>
                  <w:u w:val="none"/>
                </w:rPr>
                <w:t xml:space="preserve">2</w:t>
              </w:r>
            </w:hyperlink>
            <w:r>
              <w:rPr>
                <w:rFonts w:ascii="Times New Roman" w:hAnsi="Times New Roman"/>
              </w:rPr>
              <w:t xml:space="preserve">. Организация дополнительного образования, воспитания, отдыха                     и оздоровления детей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финансового обеспечения за весь период реализации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206 790 914,93 тыс. рублей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694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национальными целями развития Российской Федерации / государственными программами Ханты-Мансийского автономного округа - Югры</w:t>
            </w:r>
            <w:r>
              <w:rPr>
                <w:rFonts w:ascii="Times New Roman" w:hAnsi="Times New Roman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Реализация потенциала каждого человека, развитие его талантов, воспитание патриотичной и социально ответственной личности.</w:t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Государственные программы Ханты-Мансийского автономного                     округа - Югры "Развитие образования", </w:t>
            </w:r>
            <w:hyperlink r:id="rId11" w:tooltip="consultantplus://offline/ref=E390BA4A3FF2BCFD2DC07D2655978BB1A59FEC730CD7373CBB4671B285588E75D9DD0049C6FFFDB6730F6FCF39C015858D114BE093022245F21B9B8F2DC7G" w:history="1">
              <w:r>
                <w:rPr>
                  <w:rStyle w:val="733"/>
                  <w:rFonts w:ascii="Times New Roman" w:hAnsi="Times New Roman"/>
                  <w:color w:val="000000"/>
                  <w:u w:val="none"/>
                </w:rPr>
                <w:t xml:space="preserve">"Поддержка занятости населения</w:t>
              </w:r>
            </w:hyperlink>
            <w:r>
              <w:rPr>
                <w:rFonts w:ascii="Times New Roman" w:hAnsi="Times New Roman"/>
              </w:rPr>
              <w:t xml:space="preserve">", "Строительство", "Развитие гражданского общества"</w:t>
            </w:r>
            <w:r>
              <w:rPr>
                <w:rFonts w:ascii="Times New Roman" w:hAnsi="Times New Roman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/>
          <w:sz w:val="2"/>
          <w:szCs w:val="24"/>
          <w:lang w:eastAsia="ru-RU"/>
        </w:rPr>
      </w:pPr>
      <w:r>
        <w:rPr>
          <w:rFonts w:ascii="Times New Roman" w:hAnsi="Times New Roman" w:eastAsia="Times New Roman"/>
          <w:sz w:val="2"/>
          <w:szCs w:val="24"/>
          <w:lang w:eastAsia="ru-RU"/>
        </w:rPr>
      </w:r>
      <w:r>
        <w:rPr>
          <w:rFonts w:ascii="Times New Roman" w:hAnsi="Times New Roman" w:eastAsia="Times New Roman"/>
          <w:sz w:val="2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2. Показатели муниципальной программы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tbl>
      <w:tblPr>
        <w:tblW w:w="15523" w:type="dxa"/>
        <w:tblInd w:w="-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49"/>
        <w:gridCol w:w="2660"/>
        <w:gridCol w:w="884"/>
        <w:gridCol w:w="851"/>
        <w:gridCol w:w="709"/>
        <w:gridCol w:w="567"/>
        <w:gridCol w:w="708"/>
        <w:gridCol w:w="709"/>
        <w:gridCol w:w="709"/>
        <w:gridCol w:w="709"/>
        <w:gridCol w:w="674"/>
        <w:gridCol w:w="743"/>
        <w:gridCol w:w="709"/>
        <w:gridCol w:w="709"/>
        <w:gridCol w:w="709"/>
        <w:gridCol w:w="708"/>
        <w:gridCol w:w="709"/>
        <w:gridCol w:w="709"/>
        <w:gridCol w:w="1098"/>
      </w:tblGrid>
      <w:tr>
        <w:tblPrEx/>
        <w:trPr>
          <w:trHeight w:val="20"/>
        </w:trPr>
        <w:tc>
          <w:tcPr>
            <w:shd w:val="clear" w:color="auto" w:fill="ffffff"/>
            <w:tcW w:w="24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показателя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Уровень 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показателя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измерения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(по ОКЕИ)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gridSpan w:val="2"/>
            <w:tcW w:w="127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Базовое значение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gridSpan w:val="12"/>
            <w:tcW w:w="8505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Значение показателя по годам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Ответственный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за достижение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показателя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vMerge w:val="continue"/>
            <w:textDirection w:val="lrTb"/>
            <w:noWrap w:val="false"/>
          </w:tcPr>
          <w:p>
            <w:pPr>
              <w:ind w:left="-113" w:right="-113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значение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2030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2031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2032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2033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2034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2035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2036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305"/>
        </w:trPr>
        <w:tc>
          <w:tcPr>
            <w:gridSpan w:val="19"/>
            <w:shd w:val="clear" w:color="auto" w:fill="ffffff"/>
            <w:tcW w:w="1552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Цель 1 "Обеспечение доступности качественного образования в соответствии с требованиями современной образовательной политики и потребностями личности"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оля детей в возрасте 1-6 лет, получающих дошкольную образовательную услугу                   и (или) услугу по их содержанию                               в муниципальных образовательных организациях, в общей численности детей            в возрасте 1-6 лет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86,6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pStyle w:val="887"/>
              <w:ind w:left="-113" w:right="-113"/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79,1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887"/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rFonts w:ascii="Times New Roman" w:hAnsi="Times New Roman" w:cs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13"/>
                <w:szCs w:val="13"/>
                <w:highlight w:val="white"/>
              </w:rPr>
              <w:t xml:space="preserve">72,4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детей в возрасте 1-6 лет, состоящих          на учете для определения в муниципальные дошкольные образовательные организации,         в общей численности детей в возрасте 1-6 лет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10,2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8,3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widowControl w:val="off"/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6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  <w:t xml:space="preserve">0</w:t>
            </w:r>
            <w:r/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Среднемесячная номинальная начисленная заработная плата: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 работников муниципальных дошкольных образовательных организаций;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 работников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 учителей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 работников муниципальных организаций дополнительного образования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рубль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75 983,20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85 290,50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97 864,20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89 417,00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113 024,20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выпускников муниципальных общеобразовательных организаций,                       не получивших аттестат о среднем                  общем образовании, в общей                 численности выпускников муниципальных общеобразовательных организаций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99,1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986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обучающихся в муниципальных общеобразовательных организациях, занимающихся во вторую (третью) смену,           в общей численности обучающихся                          в муниципальных общеобразовательных организациях </w:t>
            </w:r>
            <w:r>
              <w:rPr>
                <w:rFonts w:ascii="Times New Roman" w:hAnsi="Times New Roman" w:eastAsia="Times New Roman"/>
                <w:sz w:val="13"/>
                <w:szCs w:val="13"/>
                <w:vertAlign w:val="superscript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14,3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15,3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15,2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15,1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14,8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12,9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12,7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highlight w:val="yellow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Расходы бюджета муниципального образования на общее образование в расчете на одного обучающегося в муниципальных общеобразовательных организациях </w:t>
            </w:r>
            <w:r>
              <w:rPr>
                <w:rFonts w:ascii="Times New Roman" w:hAnsi="Times New Roman" w:eastAsia="Times New Roman"/>
                <w:sz w:val="13"/>
                <w:szCs w:val="13"/>
                <w:highlight w:val="yellow"/>
                <w:vertAlign w:val="superscript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тысяча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182,00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220,83</w:t>
            </w:r>
            <w:r>
              <w:rPr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детей первой и второй групп                здоровья в общей численности обучающихся в муниципальных общеобразовательных организациях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94,6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1031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Доля педагогических работников общеобразовательных организаций, прошедших повышение квалификации,               в том числе в центрах непрерывного повышения профессионального мастерства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ГП ХМАО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53,9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53,9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54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54,3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54,6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54,8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416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Доля детей в возрасте 6 - 18 лет, обеспеченных местами в муниципальных общеобразовательных организациях, к потребности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100</w:t>
            </w:r>
            <w:r>
              <w:rPr>
                <w:color w:val="000000" w:themeColor="text1"/>
                <w:sz w:val="13"/>
                <w:szCs w:val="13"/>
                <w:highlight w:val="white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color w:val="000000" w:themeColor="text1"/>
                <w:sz w:val="13"/>
                <w:szCs w:val="13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gridSpan w:val="19"/>
            <w:shd w:val="clear" w:color="auto" w:fill="ffffff"/>
            <w:tcW w:w="1552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Цель 2 "Формирование эффективной системы выявления, поддержки и развития способностей и талантов у детей и молодежи"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  <w:highlight w:val="white"/>
              </w:rPr>
              <w:t xml:space="preserve">Доля обучающихся 6-11 классов,                     охваченных комплексом профориентационных мероприятий в рамках Единой модели профориентации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ФП в НП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</w:rPr>
              <w:t xml:space="preserve">43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</w:rPr>
              <w:t xml:space="preserve">46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</w:rPr>
              <w:t xml:space="preserve">49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</w:rPr>
              <w:t xml:space="preserve">52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</w:rPr>
              <w:t xml:space="preserve">55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</w:rPr>
              <w:t xml:space="preserve">58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trike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strike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</w:tc>
      </w:tr>
      <w:tr>
        <w:tblPrEx/>
        <w:trPr>
          <w:trHeight w:val="1075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детей в возрасте от 5 до 18 лет, охваченных услугами дополнительного образования</w:t>
            </w:r>
            <w:r>
              <w:rPr>
                <w:rFonts w:ascii="Times New Roman" w:hAnsi="Times New Roman" w:eastAsia="Times New Roman"/>
                <w:sz w:val="13"/>
                <w:szCs w:val="13"/>
                <w:vertAlign w:val="superscript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ФП в НП,      ОМСУ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88,4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87,77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88,07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88,37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88,67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88,97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89,47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trike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strike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Доля детей и молодежи в возрасте                   от 7 до 35 лет, у которых выявлены выдающиеся способности и таланты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ФП в НП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trike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3"/>
                <w:szCs w:val="13"/>
                <w:lang w:eastAsia="ru-RU"/>
              </w:rPr>
              <w:t xml:space="preserve">0,46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pacing w:val="-2"/>
                <w:sz w:val="13"/>
                <w:szCs w:val="13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pacing w:val="-2"/>
                <w:sz w:val="13"/>
                <w:szCs w:val="13"/>
                <w:lang w:eastAsia="ru-RU"/>
              </w:rPr>
              <w:t xml:space="preserve">0,97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pacing w:val="-2"/>
                <w:sz w:val="13"/>
                <w:szCs w:val="13"/>
                <w:lang w:eastAsia="ru-RU"/>
              </w:rPr>
              <w:t xml:space="preserve">0,98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pacing w:val="-2"/>
                <w:sz w:val="13"/>
                <w:szCs w:val="13"/>
                <w:lang w:eastAsia="ru-RU"/>
              </w:rPr>
              <w:t xml:space="preserve">0,99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spacing w:val="-2"/>
                <w:sz w:val="13"/>
                <w:szCs w:val="13"/>
                <w:highlight w:val="whit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trike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strike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trike/>
                <w:color w:val="000000"/>
                <w:spacing w:val="-2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города;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департамент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по социальной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политике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детей в возрасте от 6 до 17 лет, охваченных всеми формами отдыха                  и оздоровления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861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     категории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ГП ХМАО,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проведенных мероприятий               по обеспечению деятельности советников директора по воспитанию и взаимодействию    с детскими общественными объединениями        в общеобразовательных организациях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ГП ХМАО,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36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36</w:t>
            </w:r>
            <w:r/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обучающихся, принявших участие в городских и окружных соревнованиях, направленных на укрепление здоровья, формирование физических                и волевых качеств у детей и подростков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человек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7 126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обучающихся, принявших участие в региональном этапе всероссийской олимпиады школьников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человек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235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временно трудоустроенных несовершеннолетних граждан в возрасте              от 14 до 18 лет в свободное от учебы время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человек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1 370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</w:t>
            </w:r>
            <w:r>
              <w:rPr>
                <w:rFonts w:ascii="Times New Roman" w:hAnsi="Times New Roman" w:eastAsia="Times New Roman"/>
                <w:sz w:val="13"/>
                <w:szCs w:val="13"/>
                <w:lang w:val="en-US" w:eastAsia="ru-RU"/>
              </w:rPr>
              <w:t xml:space="preserve">420</w:t>
            </w:r>
            <w:r>
              <w:rPr>
                <w:rFonts w:ascii="Times New Roman" w:hAnsi="Times New Roman" w:eastAsia="Times New Roman"/>
                <w:sz w:val="13"/>
                <w:szCs w:val="13"/>
                <w:lang w:val="en-US"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1 200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Количество реализованных инициативных проектов 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  <w:t xml:space="preserve">Доля детей, которые обеспечены социальными сертификатами персонифицированного финансирования дополнительного образования</w:t>
            </w:r>
            <w:r>
              <w:rPr>
                <w:rFonts w:ascii="Times New Roman" w:hAnsi="Times New Roman" w:eastAsia="Times New Roman"/>
                <w:color w:val="000000"/>
                <w:sz w:val="13"/>
                <w:szCs w:val="13"/>
                <w:lang w:eastAsia="ru-RU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5,6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9,5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  <w:highlight w:val="white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13"/>
                <w:szCs w:val="13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10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gridSpan w:val="19"/>
            <w:shd w:val="clear" w:color="auto" w:fill="ffffff"/>
            <w:tcW w:w="1552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z w:val="13"/>
                <w:szCs w:val="13"/>
              </w:rPr>
              <w:t xml:space="preserve">Цель 3 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"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 xml:space="preserve">Формирование позитивного мышления, принципов здорового образа жизни, предупреждение деструктивного (виктимного) поведения обучающихся</w:t>
            </w:r>
            <w:r>
              <w:rPr>
                <w:rFonts w:ascii="Times New Roman" w:hAnsi="Times New Roman" w:eastAsia="Times New Roman"/>
                <w:b/>
                <w:sz w:val="13"/>
                <w:szCs w:val="13"/>
                <w:lang w:eastAsia="ru-RU"/>
              </w:rPr>
              <w:t xml:space="preserve">"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профилактических мероприятий, проводимых по формированию культуры здорового образа жизни, стрессоустойчивости и жизнестойкости несовершеннолетних               в образовательных организациях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450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1 500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1 500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1 500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</w:tr>
      <w:tr>
        <w:tblPrEx/>
        <w:trPr>
          <w:trHeight w:val="737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Охват профилактическими мероприятиями участников образовательного процесса  образовательных организаций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процент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100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</w:tr>
      <w:tr>
        <w:tblPrEx/>
        <w:trPr>
          <w:trHeight w:val="680"/>
        </w:trPr>
        <w:tc>
          <w:tcPr>
            <w:shd w:val="clear" w:color="auto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мероприятий, направленных           на повышение педагогических компетенций по вопросам профилактики суицидального   поведения в образовательной среде, а также по вопросам работы с детьми целевых групп     и их семьями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W w:w="24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2660" w:type="dxa"/>
            <w:textDirection w:val="lrTb"/>
            <w:noWrap w:val="false"/>
          </w:tcPr>
          <w:p>
            <w:pPr>
              <w:ind w:left="-57" w:right="-57"/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Количество мероприятий, направленных            на формирование семейных ценностей, ответственного родительства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2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43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109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образования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/>
                <w:sz w:val="13"/>
                <w:szCs w:val="13"/>
                <w:lang w:eastAsia="ru-RU"/>
              </w:rPr>
              <w:t xml:space="preserve">города</w:t>
            </w:r>
            <w:r>
              <w:rPr>
                <w:rFonts w:ascii="Times New Roman" w:hAnsi="Times New Roman" w:eastAsia="Times New Roman"/>
                <w:sz w:val="13"/>
                <w:szCs w:val="13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3. План достижения показателей муниципальной программы в 2026 году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tbl>
      <w:tblPr>
        <w:tblW w:w="15418" w:type="dxa"/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487"/>
        <w:gridCol w:w="1701"/>
        <w:gridCol w:w="1134"/>
        <w:gridCol w:w="1417"/>
        <w:gridCol w:w="1418"/>
        <w:gridCol w:w="1417"/>
        <w:gridCol w:w="1418"/>
      </w:tblGrid>
      <w:tr>
        <w:tblPrEx/>
        <w:trPr>
          <w:trHeight w:val="20"/>
        </w:trPr>
        <w:tc>
          <w:tcPr>
            <w:tcW w:w="42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vMerge w:val="restart"/>
            <w:textDirection w:val="lrTb"/>
            <w:noWrap w:val="false"/>
          </w:tcPr>
          <w:p>
            <w:pPr>
              <w:ind w:right="-57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Наименование показателя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Уровень 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показателя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Единица 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измерения 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(по ОКЕИ)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gridSpan w:val="4"/>
            <w:tcW w:w="567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Плановые значения показателя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vMerge w:val="continue"/>
            <w:textDirection w:val="lrTb"/>
            <w:noWrap w:val="false"/>
          </w:tcPr>
          <w:p>
            <w:pPr>
              <w:ind w:right="-57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val="en-US" w:eastAsia="ru-RU"/>
              </w:rPr>
              <w:t xml:space="preserve">I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 квартал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первое полугодие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9 месяцев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gridSpan w:val="8"/>
            <w:tcW w:w="1541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Цель 1 "Обеспечение доступности качественного образования в соответствии с требованиями современной образовательной политики и потребностями личности"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детей в возрасте 1-6 лет, получающих дошкольную образовательную услугу                           и (или) услугу по их содержанию в муниципальных образовательных организациях,             в общей численности детей в возрасте 1-6 лет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79,1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77,5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72,4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72,4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детей в возрасте 1-6 лет, состоящих на учете для определения в муниципальные дошкольные образовательные организации, в общей численности детей в возрасте 1-6 лет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8,3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Среднемесячная номинальная начисленная заработная плата: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 работников муниципальных дошкольных 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 работников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 учителей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 работников муниципальных организаций дополнительного образования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рубль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102 901,60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109 407,90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112 905,60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122 183,70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выпускников муниципальных общеобразовательных организаций, не получивших аттестат о среднем общем образовании, в общей численности выпускников муниципальных общеобразовательных организаций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99,6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обучающихся в муниципальных общеобразовательных организациях, занимающихся               во вторую (третью) смену, в общей численности обучающихся в муниципальных общеобразовательных организациях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15,2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15,2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15,2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15,2</w:t>
            </w:r>
            <w:r/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Расходы бюджета муниципального образования на общее образование в расчете на одного обучающегося в муниципальных общеобразовательных организациях 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тысяча 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155,20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magenta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magenta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100,0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120,4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8"/>
                <w:lang w:eastAsia="ru-RU"/>
              </w:rPr>
              <w:t xml:space="preserve">220,83</w:t>
            </w: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highlight w:val="magenta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детей первой и второй групп здоровья в общей численности обучающихся                          в муниципальных общеобразовательных организациях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ГП ХМАО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30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40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54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в возрасте 6 - 18 лет, обеспеченных местами в муниципальных общеобразовательных организациях, к потребности</w:t>
            </w:r>
            <w:r>
              <w:rPr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100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100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gridSpan w:val="8"/>
            <w:tcW w:w="15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Цель 2 "Формирование эффективной системы выявления, поддержки и развития способностей и талантов у детей и молодежи"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</w:rPr>
              <w:t xml:space="preserve">Доля обучающихся 6-11 классов, охваченных комплексом профориентационных мероприятий в рамках Единой модели профориентации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  <w:t xml:space="preserve">ФП в НП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  <w:t xml:space="preserve">процент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15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lang w:eastAsia="ru-RU"/>
              </w:rPr>
              <w:t xml:space="preserve">Доля детей в возрасте от 5 до 18 лет, охваченных услугами дополнительного образования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ФП в НП,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ОМСУ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64,95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69,86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85,50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88,07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и молодежи в возрасте от 7 до 35 лет, у которых выявлены выдающиеся способности и таланты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ФП в НП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  <w:t xml:space="preserve">процент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0,95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детей в возрасте от 6 до 17 лет, охваченных всеми формами отдыха и оздоровления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68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98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ГП ХМАО,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проведенных мероприятий по обеспечению деятельности советников директора по воспитанию и взаимодействию с детскими общественными объединениями         в общеобразовательных организациях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ГП ХМАО,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единица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ffffff"/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17..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обучающихся, принявших участие в городских и окружных соревнованиях, направленных на укрепление здоровья, формирование физических и волевых качеств                     у детей и подростков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человек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1 071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2 142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3 213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4 285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431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обучающихся, принявших участие в региональном этапе всероссийской олимпиады школьников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человек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579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временно трудоустроенных несовершеннолетних граждан в возрасте                             от 14 до 18 лет в свободное от учебы время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человек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80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200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65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1 200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реализованных инициативных проектов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Доля детей, которые обеспечены социальными сертификатами персонифицированного финансирования дополнительного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194"/>
        </w:trPr>
        <w:tc>
          <w:tcPr>
            <w:gridSpan w:val="8"/>
            <w:tcW w:w="15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Цель 3 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"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Формирование позитивного мышления, принципов здорового образа жизни, предупреждение деструктивного (виктимного) поведения обучающихся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"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профилактических мероприятий, проводимых по формированию культуры здорового образа жизни, стрессоустойчивости и жизнестойкости несовершеннолетних                  в образовательных организациях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250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400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800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1 500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Охват профилактическими мероприятиями участников образовательного процесса  образовательных организаций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процент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25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50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75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мероприятий, направленных на повышение педагогических компетенций               по вопросам профилактики суицидального поведения в образовательной среде, а также             по вопросам работы с детьми целевых групп и их семьями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42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648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мероприятий, направленных на формирование семейных ценностей, ответственного родительства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МП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4. Структура муниципальной программы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</w:r>
    </w:p>
    <w:tbl>
      <w:tblPr>
        <w:tblW w:w="15560" w:type="dxa"/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4536"/>
        <w:gridCol w:w="6521"/>
      </w:tblGrid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Задачи структурного элемента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Краткое описание структурного элемента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Связь с показателями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Направление (подпрограмма) "Общее образование"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2025-2028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1.1.1.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Создание образовательных организаций, организаций для отдыха и оздоровления детей</w:t>
            </w:r>
            <w:r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объектов муниципального образования                         в соответствии с условиями концессионного соглашения </w:t>
            </w:r>
            <w:r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Региональный проект "Все лучшее детям"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год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1.2.1.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Модернизация школьных систем образования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мероприятий по модернизации школьных систем образования;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капитальный ремонт и оснащение немонтируемыми средствами обучения и воспитания объектов муниципальных общеобразовательных организаций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детей в возрасте от 5 до 18 лет, охваченных 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lang w:eastAsia="ru-RU"/>
              </w:rPr>
              <w:t xml:space="preserve">услугами дополнительного образования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доля детей и молодежи в возрасте от 7 до 35 лет, у которых выявлены выдающиеся способности и таланты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Региональный проект "Педагоги и наставники"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общеобразовательные организации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1.3.1.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условий для функционирования педагогических работников в образовательных организациях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/>
                <w:strike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деятельности советников директора                      по воспитанию и взаимодействию с детскими общественными объединениями в муниципальных общеобразовательных организациях и профессиональных образовательных организациях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проведенных мероприятий по обеспечению деятельности советников    директора по воспитанию и взаимодействию с детскими общественными объединениями                      в общеобразовательных организациях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выплат денежного вознаграждения за классное руководство педагогическим работникам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1.4.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дошкольного и общего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муниципальные образовательные организации;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муниципальное автономное учреждение города Нижневартовска "Центр развития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1.4.1.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основных общеобразовательных программ в организациях дошкольного и общего образования, частных общеобразовательных организациях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реализации общеобразовательных программ дошкольного и общего образования, разработанных                             в соответствии с федеральными государственными образовательными стандартами;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выплата компенсации педагогическим работникам за работу                       по подготовке и проведению единого государственного экзамена;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питания обучающихся, получающих основное общее и среднее общее образование в муниципальных образовательных организациях (за исключением льготной категории обучающихся начальных классов);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оказание мер социальной поддержки детям-сиротам и детям, оставшимся без попечения родителей, детям из многодетных семей, детям из малоиму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щих семей, обучающимся с ограниченными возможностями здоровья, детям-инвалидам, не относящимся к обучающимся с ограниченными возможностями здоровья (далее - дети-инвалиды), членам семей участников специальной военной операции, гражданам Российской Федераци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и, призванным на военную службу по мобилизации в Вооруженные Силы Российской Федерации, получающих образование в муниципальных общеобразовательных организациях, в виде предоставления двухразового питания в учебное время по месту нахождения общеобразователь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ной организации и денежной компенсации за двухразовое питание обучающихся с ограниченными возможностями здоровья, детей-инвалидов, осваивающих основные общеобразовательные программы, обучение которых организовано общеобразовательными организациями на дому;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компенсация части родительской платы за присмотр и уход                         за детьми в дошкольных образовательных организациях;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осуществление присмотра и ухода за детьми, содержания детей в частных дошкольных образовательных организациях;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основных общеобразовательных программ частными общеобразовательными организациями;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дополнительного образования детей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br/>
              <w:t xml:space="preserve">в муниципальных общеобразовательных организациях (Кванториум, </w:t>
            </w:r>
            <w:r>
              <w:rPr>
                <w:rFonts w:ascii="Times New Roman" w:hAnsi="Times New Roman" w:eastAsia="Times New Roman"/>
                <w:sz w:val="16"/>
                <w:szCs w:val="16"/>
                <w:lang w:val="en-US" w:eastAsia="ru-RU"/>
              </w:rPr>
              <w:t xml:space="preserve">IT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-куб);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мероприятий, направленных на повышение квалификации и развитие кадрового потенциала работников 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и предоставление горячего питания обучающимся начальных классов муниципальных, частных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питанием отдельных категорий обучающихся в муниципальных, частных общеобразовательных организациях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в возрасте 1-6 лет, получающих дошкольную образовательную услугу                            и (или) услугу по их содержанию в муниципальных образовательных организациях,                    в общей численности детей в возрасте 1-6 лет;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в возрасте 1-6 лет, состоящих на учете для определения в муниципальные дошкольные образовательные организации, в общей численности детей в возрасте 1-6 лет;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выпускников муниципальных общеобразовательных организаций, не получивших аттестат о среднем общем образовании, в общей численности выпускников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общеобразовательных организациях;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количество обучающихся, принявших участие в региональном этапе всероссийской олимпиады школьников;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расходы бюджета муниципального образования на общее образование в расчете на одного обучающегося в муниципальных общеобразовательных организациях;</w:t>
            </w:r>
            <w:r>
              <w:rPr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первой и второй групп здоровья в общей численности обучающихся                             в муниципальных общеобразовательных организациях;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среднемесячная номинальная начисленная заработная плата работников муниципальных дошкольных образовательных организаций, муниципальных общеобразовательных организаций, учителей муниципальных общеобразовательных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в возрасте 6 - 18 лет, обеспеченных местами в муниципальных общеобразовательных организациях, к потребности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Направление (подпрограмма) "Организация дополнительного образования, воспитания, отдыха и оздоровления детей"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дополнительного образования детей, воспитания"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учреждения дополнительного образования детей;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муниципальное автономное учреждение города Нижневартовска "Центр развития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2.1.1.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условий для выявления и развития способностей и талантов у детей и молодежи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дополнительных образовательных программ                            и мероприятий по выявлению и развитию одаренных детей              и молодежи;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мероприятий по профилактике экстремизма;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функционирования персонифицированного финансирования дополнительного образования на территории города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среднемесячная номинальная начисленная заработная плата работников муниципальных организаций дополнительного образования;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детей, которые обеспечены социальными сертификатами персонифицированного финансирования дополнительного образования;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</w:rPr>
              <w:t xml:space="preserve">доля обучающихся 6-11 классов, охваченных комплексом профориентационных мероприятий в рамках Единой модели профориентации;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в возрасте от 5 до 18 лет, охваченных </w:t>
            </w:r>
            <w:r>
              <w:rPr>
                <w:rFonts w:ascii="Times New Roman" w:hAnsi="Times New Roman" w:eastAsia="Times New Roman"/>
                <w:spacing w:val="-2"/>
                <w:sz w:val="16"/>
                <w:szCs w:val="16"/>
                <w:highlight w:val="white"/>
                <w:lang w:eastAsia="ru-RU"/>
              </w:rPr>
              <w:t xml:space="preserve">услугами дополнительного образования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доля детей и молодежи в возрасте от 7 до 35 лет, у которых выявлены выдающиеся способности и таланты;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количество обучающихся, принявших участие в городских и окружных соревнованиях, направленных на укрепление здоровья, формирование физических и волевых качеств                  у детей и 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подростков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Комплекс процессных мероприятий "Содействие развитию летнего отдыха и оздоровления"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муниципальные образовательные организации;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муниципальное автономное учреждение города Нижневартовска "Центр развития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2.2.1.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отдыха и оздоровления детей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и обеспечение отдыха и оздоровления детей,               в том числе в этнической среде (приобретение путевок, организация сопровождения групп детей до места отдыха            и обратно, проведение семинаров, страхование детей);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отдыха детей в каникулярное время в лагерях, организованных на базе образовательных организаций;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проведение мероприятий, направленных на воспитание ценностного отношения к здоровому образу жизни у детей             и подростков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доля детей в возрасте от 6 до 17 лет, охваченных всеми формами отдыха и 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  <w:lang w:eastAsia="ru-RU"/>
              </w:rPr>
              <w:t xml:space="preserve">оздоровления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Структурные элементы, не входящие в направления (подпрограммы)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Комплекс процессных мероприятий "Реализация управленческих функций в области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муниципальное автономное учреждение города Нижневартовска "Центр развития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3.1.1.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осуществления функций департамента образования администрации города и учреждения, подведомственного ему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деятельности департамента образования администрации города и муниципального автономного учреждения города Нижневартовска "Центр развития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Комплекс процессных мероприятий "Создание условий для обеспечения деятельности образовательных организаций"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27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3.2.1.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Создание универсальной безбарьерной среды                 для инвалидов и других маломобильных групп населения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мероприятий по обеспечению доступности объектов и услуг для инвалидов и других маломобильных групп населения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567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3.2.2.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энергосбережения, повышения энергетической эффективности объектов сферы образования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реализация мероприятий в области энергосбережения                       и повышения энергетической эффективности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567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3.2.3.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пожарной безопасности объектов сферы образования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выполнение первоочередных мероприятий по обеспечению пожарной безопасности на объектах муниципальной собственности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567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3.2.4.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Модернизации школьных систем образования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прочие расходы на реализацию мероприятий                                 по модернизации школьных систем образования (благоустройство территорий)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Комплекс процессных мероприятий "Реализация мероприятий по содействию трудоустройству граждан"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2025-2036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муниципальные образовательные организации;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муниципальное автономное учреждение города Нижневартовска "Центр развития образования";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  <w:t xml:space="preserve">муниципальные учреждения, подведомственные департаменту по социальной политике администрации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города;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муниципальное автономное учреждение города Нижневартовска "Молодежный центр"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3.3.1.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Содействие молодежи в получении трудового опыта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организация временного трудоустройства несовершеннолетних граждан в возрасте от 14 до 18 лет                       в свободное от учебы время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временно трудоустроенных несовершеннолетних граждан в возрасте                        от 14 до 18 лет в свободное от учебы время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3.4.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Комплекс процессных мероприятий "Формирование психологического здоровья обучающихся в образовательных организациях"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2025 - 2028 годы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дошкольные образовательные организации;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общеобразовательные организации;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учреждения дополнительного образования;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муниципальное автономное учреждение города Нижневартовска "Центр развития образования"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green"/>
              </w:rPr>
            </w:r>
          </w:p>
        </w:tc>
      </w:tr>
      <w:tr>
        <w:tblPrEx/>
        <w:trPr>
          <w:trHeight w:val="794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3.4.1.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Обеспечение условий для профилактики виктимного, антивитального и аутагрессивного поведения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комплекса профилактических  мероприятий по вопросам организации деятельности                      и формирования у несовершеннолетних ассертивности, жизнеутверждающего отношения к окружающему              миру;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организация интерактивных вебинаров, тренингов                        для обучающихся по профилактике виктимного, аутоагрессивного поведения, формированию жизнестойкости и стрессоустойчивости, успешности и уверенности в своих силах;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разработка тематических информационных материалов;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проведение муниципального конкурса лучших практик                  по профилактике девиантного (в том числе антивитального) поведения обучающихся в сфере образования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профилактических мероприятий, проводимых по формированию культуры здорового образа жизни, стрессоустойчивости и жизнестойкости несовершеннолетних               в образовательных организациях;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охват профилактическими мероприятиями участников образовательного процесса образовательных организаций</w:t>
            </w:r>
            <w:r>
              <w:rPr>
                <w:rFonts w:ascii="Times New Roman" w:hAnsi="Times New Roman" w:eastAsia="Times New Roman"/>
                <w:sz w:val="16"/>
                <w:szCs w:val="16"/>
                <w:highlight w:val="yellow"/>
              </w:rPr>
            </w:r>
          </w:p>
        </w:tc>
      </w:tr>
      <w:tr>
        <w:tblPrEx/>
        <w:trPr>
          <w:trHeight w:val="794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3.4.2.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Повышение педагогической компетентности                      в вопросах предупреждения и профилактики деструктивных рисков несовершеннолетних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организация семинаров, тренингов, вебинаров,         практикумов для педагогических работников      муниципальных образовательных организаций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по вопросам формирования психологически безопасной образовательной среды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мероприятий, направленных на повышение педагогических компетенций            по вопросам профилактики суицидального поведения в образовательной среде, а также            по вопросам работы с детьми целевых групп и их семьями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</w:tr>
      <w:tr>
        <w:tblPrEx/>
        <w:trPr>
          <w:trHeight w:val="794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3.4.3.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Повышение педагогических компетенций родителей           в вопросах воспитания психически здоровой, устойчивой личности, эмоционально-волевой сферы  ребенка, сохранения семейных ценностей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  <w:highlight w:val="cy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родительского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всеобуча "Успешные родители: взрослеем вместе"</w:t>
            </w:r>
            <w:r>
              <w:rPr>
                <w:rFonts w:ascii="Times New Roman" w:hAnsi="Times New Roman"/>
                <w:sz w:val="16"/>
                <w:szCs w:val="16"/>
                <w:highlight w:val="cyan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количество мероприятий, направленных на формирование семейных ценностей, ответственного родительства 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3.5.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"Веревочный полигон "Нити-Сити"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год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3.5.1.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Создание комфортного, современного и технически оснащенного веревочного полигона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708" w:leader="none"/>
              </w:tabs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 созданию пространства                     для занятий спортивным туризмом для несовершеннолетних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3.6.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"Благоустройство школьного стадиона СШ №10"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год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общеобразовательные организации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3.6.1.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Создание нового оборудованного пространства              для занятий физической культурой и спортом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благоустройству школьного стадиона муниципального бюджетного общеобразовательного учреждения "Средняя школа №10"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3.7.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"Благоустройство многофункциональной баскетбольно-волейбольной площадки и зоны воркаут, а также площадки для общегимназического сбора"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год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общеобразовательные организации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3.7.1.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Модернизация и улучшение функциональности объекта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благоустройству многофункциональной баскетбольно-волейбольной площадки и зоны воркаут, а также площадки для общегимназического сбора муниципального бюджетного общеобразовательного учреждения "Гимназия №1"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3.8.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"Благоустройство школьного ограждения "Безопасная школа"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год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общеобразовательные организации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3.8.1.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Реконструкция школьного ограждения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благоустройству школьного ограждения муниципального бюджетного общеобразовательного учреждения "Средняя школа №10"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3.9.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"Благоустройство территории между МБОУ СШ №10 и МАУДО г. Нижневартовска "ЦДТ" "Дендросад"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2025 год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1246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3.9.1.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Благоустройство территории между образовательными организациями города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благоустройству территории между муниципальным бюджетным общеобразовательным учреждением "Средняя школа №10" и муниципальным автономным учреждением дополнительного образования города Нижневартовска "Центр детского творчества" "Дендросад"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"Тринадцатый спортивный - этап 2"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2026 год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110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образовательные организации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878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4.2.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Создание нового оборудованного пространства              для занятий физической культурой и спортом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rPr>
                <w:rFonts w:ascii="Times New Roman" w:hAnsi="Times New Roman"/>
                <w:iCs/>
                <w:strike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iCs/>
                <w:strike/>
                <w:color w:val="ff0000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/>
                <w:iCs/>
                <w:strike/>
                <w:color w:val="ff0000"/>
                <w:sz w:val="18"/>
                <w:szCs w:val="18"/>
                <w:highlight w:val="yellow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trike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обустройству спортивных зон на территории многофункциональной спортивной площадки муниципального бюджетного общеобразовательного учреждения "Средняя школа №14"</w:t>
            </w:r>
            <w:r>
              <w:rPr>
                <w:rFonts w:ascii="Times New Roman" w:hAnsi="Times New Roman" w:eastAsia="Times New Roman"/>
                <w:strike/>
                <w:color w:val="ff0000"/>
                <w:sz w:val="16"/>
                <w:szCs w:val="16"/>
                <w:lang w:eastAsia="ru-RU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tcW w:w="150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Инициативный проект "Благоустройство зоны отдыха и аллеи выпускников"</w:t>
            </w:r>
            <w:r>
              <w:rPr>
                <w:rFonts w:ascii="Times New Roman" w:hAnsi="Times New Roman"/>
                <w:sz w:val="16"/>
                <w:szCs w:val="16"/>
                <w:highlight w:val="yellow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5.1.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Ответственный за реализацию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Срок реализации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2026 год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Участники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департамент образования администрации города;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муниципальные образовательные организации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tcW w:w="53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5.2.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Благоустройство зоны отдыха и аллеи выпускников для занятия спортом и отдыха учащихся и жителей микрорайона  на территории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муниципального бюджетного общеобразовательного учреждения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"Гимназия №1"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по благоустройству зоны отдыха 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 w:clear="all"/>
              <w:t xml:space="preserve">и аллеи выпускников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на территории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муниципального бюджетного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общеобразовательного учреждения 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 w:clear="all"/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"Гимназия №1"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реализованных инициативных проектов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jc w:val="center"/>
        <w:spacing w:after="0" w:line="240" w:lineRule="auto"/>
        <w:tabs>
          <w:tab w:val="left" w:pos="9923" w:leader="none"/>
        </w:tabs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tabs>
          <w:tab w:val="left" w:pos="9923" w:leader="none"/>
        </w:tabs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Финансовое обеспечение муниципальной программы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tabs>
          <w:tab w:val="left" w:pos="9923" w:leader="none"/>
        </w:tabs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tbl>
      <w:tblPr>
        <w:tblW w:w="512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6"/>
        <w:gridCol w:w="1699"/>
        <w:gridCol w:w="1039"/>
        <w:gridCol w:w="946"/>
        <w:gridCol w:w="788"/>
        <w:gridCol w:w="888"/>
        <w:gridCol w:w="946"/>
        <w:gridCol w:w="946"/>
        <w:gridCol w:w="946"/>
        <w:gridCol w:w="914"/>
        <w:gridCol w:w="967"/>
        <w:gridCol w:w="834"/>
        <w:gridCol w:w="946"/>
        <w:gridCol w:w="946"/>
        <w:gridCol w:w="949"/>
        <w:gridCol w:w="890"/>
      </w:tblGrid>
      <w:tr>
        <w:tblPrEx/>
        <w:trPr>
          <w:jc w:val="center"/>
          <w:trHeight w:val="20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структурного элемента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Источник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финансового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обеспечения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gridSpan w:val="13"/>
            <w:tcW w:w="1209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Объем финансового обеспечения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(тыс. рублей)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555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2030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2031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2032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2033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2034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2035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2036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gridSpan w:val="2"/>
            <w:tcW w:w="2015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Муниципальная программа (всего)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17 141 377,61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  <w:lang w:eastAsia="ru-RU"/>
              </w:rPr>
              <w:t xml:space="preserve">18 962 894,46</w:t>
            </w: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18 848 916,17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18 698 067,06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16 257 041,68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16 360 701,94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16 467 472,01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16 577 445,18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16 690 717,54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16 807 388,07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16 927 558,72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17 051 334,49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206 790 914,93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gridSpan w:val="2"/>
            <w:tcW w:w="2015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федеральный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312 423,40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  <w:lang w:eastAsia="ru-RU"/>
              </w:rPr>
              <w:t xml:space="preserve">334 575,10</w:t>
            </w: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327 033,10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316 034,70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305 494,20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3 734 019,90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gridSpan w:val="2"/>
            <w:tcW w:w="2015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12 549 692,59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  <w:lang w:eastAsia="ru-RU"/>
              </w:rPr>
              <w:t xml:space="preserve">14 216 429,01</w:t>
            </w: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14 365 060,10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14 274 614,30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/>
          </w:p>
        </w:tc>
        <w:tc>
          <w:tcPr>
            <w:tcW w:w="846" w:type="dxa"/>
            <w:textDirection w:val="lrTb"/>
            <w:noWrap w:val="false"/>
          </w:tcPr>
          <w:p>
            <w:pPr>
              <w:ind w:right="-93"/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11 875 988,50</w:t>
            </w:r>
            <w:r/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150 413 704,00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217"/>
        </w:trPr>
        <w:tc>
          <w:tcPr>
            <w:gridSpan w:val="2"/>
            <w:tcW w:w="2015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3 548 585,67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  <w:lang w:eastAsia="ru-RU"/>
              </w:rPr>
              <w:t xml:space="preserve">3 648 818,15</w:t>
            </w: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3 492 649,20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3 443 244,29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3 455 341,96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3 559 002,22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3 665 772,29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3 775 745,46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3 889 017,82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4 005 688,35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4 125 859,00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4 249 634,77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44 859 359,18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gridSpan w:val="2"/>
            <w:tcW w:w="2015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иные источники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финансирования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730 675,95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2"/>
                <w:szCs w:val="12"/>
                <w:lang w:eastAsia="ru-RU"/>
              </w:rPr>
              <w:t xml:space="preserve">763 072,20</w:t>
            </w:r>
            <w:r>
              <w:rPr>
                <w:rFonts w:ascii="Times New Roman" w:hAnsi="Times New Roman"/>
                <w:color w:val="000000" w:themeColor="text1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664 173,77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664 173,77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620 217,02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7 783 831,85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3"/>
            <w:tcW w:w="3071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Объем налоговых расходов (справочно)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Региональный проект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"Укрепление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материально-технической базы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образовательных организаций,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организаций для отдыха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 оздоровления детей"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342 988,96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348 345,70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353 195,00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224 197,50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1 268 727,16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265 233,80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268 382,90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271 716,00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193 512,60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998 845,30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77 755,16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79 962,80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81 479,00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30 684,90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269 881,86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Региональный проект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"Все лучшее детям"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107 617,60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107 617,60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федеральный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31 125,00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31 125,00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65 485,55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65 485,55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11 007,05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11 007,05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362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Региональный проект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"Педагоги и наставники"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234 958,90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243 495,90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249 222,00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250 100,90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14 959,70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1 097 455,30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федеральный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226 975,60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233 920,20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236 520,20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237 241,70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973 756,10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7 853,10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9 575,70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12 701,80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12 859,20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9 922,80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122 372,20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130,20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149,60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1 327,00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337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"Содействие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развитию дошкольного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 общего образования"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15 387 667,93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17 307 911,83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17 262 124,00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17 235 928,40</w:t>
            </w:r>
            <w:r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15 298 848,42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15 385 404,74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15 474 557,75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15 566 385,35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15 660 967,77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15 758 387,66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15 858 730,15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Cs/>
                <w:sz w:val="12"/>
                <w:szCs w:val="12"/>
              </w:rPr>
              <w:t xml:space="preserve">15 962 082,92</w:t>
            </w:r>
            <w:r>
              <w:rPr>
                <w:rFonts w:ascii="Times New Roman" w:hAnsi="Times New Roman"/>
                <w:bCs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192 158 996,92</w:t>
            </w:r>
            <w:r>
              <w:rPr>
                <w:rFonts w:ascii="Times New Roman" w:hAnsi="Times New Roman"/>
                <w:bCs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федеральный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54 322,80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100 654,90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90 512,90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78 793,00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300 606,90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2 729 138,80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11 940 005,51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13 710 348,09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13 867 488,80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13 855 089,00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9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846" w:type="dxa"/>
            <w:textDirection w:val="lrTb"/>
            <w:noWrap w:val="false"/>
          </w:tcPr>
          <w:p>
            <w:pPr>
              <w:ind w:right="-102"/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11 717 335,90</w:t>
            </w:r>
            <w:r/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147 111 618,60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2 676 848,98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2 750 280,87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2 652 677,78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2 650 601,88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2 673 270,95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2 759 827,27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2 848 980,28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2 940 807,88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3 035 390,30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3 132 810,19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3 233 152,68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3 336 505,45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34 691 154,51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иные источники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финансирования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716 490,64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746 627,97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651 444,52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651 444,52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607 634,67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7 627 085,01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"Содействие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развитию дополнительного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образования детей,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воспитания"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456 691,14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492 218,47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457 255,44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457 255,44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469 424,25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479 790,28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490 467,28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501 464,60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512 791,83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524 458,89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536 475,95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548 853,53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5 927 147,10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239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447 470,67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480 046,74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448 367,35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448 367,35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460 573,27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470 939,30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481 616,30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492 613,62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503 940,85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515 607,91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527 624,97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540 002,55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5 817 170,88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иные источники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финансирования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9 220,47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12 171,73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8 888,09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8 888,09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8 850,98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109 976,22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"Содействие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развитию летнего отдыха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 оздоровления"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239 057,69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277 337,05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268 987,45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268 987,45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167 608,63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2 395 238,68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176 353,10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200 684,20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200 684,20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200 684,20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121 829,30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1 753 040,10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62 704,59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76 652,85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68 303,25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68 303,25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45 779,33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642 198,58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"Реализация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управленческих функций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 области образования"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223 607,81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236 160,75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232 293,06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235 758,15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265 803,98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272 541,89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279 481,95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286 630,20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293 992,91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301 576,49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309 387,59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317 433,01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3 254 667,79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12 259,63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12 169,30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12 469,30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12 469,30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11 887,30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144 465,93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206 383,34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219 718,95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215 982,60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219 447,69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250 185,31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256 923,22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263 863,28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271 011,53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278 374,24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285 957,82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293 768,92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301 814,34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3 063 431,24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297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иные источники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финансирования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4 964,84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color w:val="ff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4 272,50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3 841,16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3 841,16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3 731,37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46 770,62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"Создание условий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для обеспечения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деятельности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образовательных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организаций"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102 292,21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19 141,09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325 268,30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475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65 098,90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65 098,90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37 193,31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19 141,09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20 383,50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260 169,40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274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"Реализация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мероприятий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по содействию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трудоустройству граждан"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20 506,37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20 268,82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5 000,00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210 880,79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15 506,37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15 268,82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15 013,20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150 880,79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60 000,00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Комплекс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процессных мероприятий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</w:t>
            </w:r>
            <w:r>
              <w:rPr>
                <w:rFonts w:ascii="Times New Roman" w:hAnsi="Times New Roman"/>
                <w:sz w:val="12"/>
                <w:szCs w:val="12"/>
              </w:rPr>
              <w:t xml:space="preserve">Ф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ормирование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психологического здоровья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обучающихся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 образовательных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организациях"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455,72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977,32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455,72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455,72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sz w:val="12"/>
                <w:szCs w:val="12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2 344,48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"Веревочный полигон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"Нити-Сити"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2 939,65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2 939,65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1 896,63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1 896,63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1 043,02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1 043,02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"Благоустройство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школьного стадиона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СШ №10"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6 413,77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6 413,77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"Благоустройство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многофункциональной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баскетбольно-волейбольной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площадки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 зоны воркаут,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 также площадки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для общегимназического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сбора"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9 051,23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9 051,23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"Благоустройство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школьного ограждения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"Безопасная школа"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5 628,63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5 628,63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120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"Благоустройство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территории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между МБОУ СШ №10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 МАУДО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г. Нижневартовска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"ЦДТ" "Дендросад"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1 500,00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28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4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1 500,00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"Тринадцатый спортивный  - этап 2"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7 038,21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8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7 038,21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jc w:val="center"/>
          <w:trHeight w:val="198"/>
        </w:trPr>
        <w:tc>
          <w:tcPr>
            <w:tcW w:w="28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Инициативный проект "Благоустройство зоны отдыха и аллеи выпускников"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color w:val="000000"/>
                <w:sz w:val="12"/>
                <w:szCs w:val="12"/>
                <w:lang w:eastAsia="ru-RU"/>
              </w:rPr>
            </w:r>
          </w:p>
        </w:tc>
        <w:tc>
          <w:tcPr>
            <w:tcW w:w="799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9 999,32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0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8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/>
          </w:p>
        </w:tc>
        <w:tc>
          <w:tcPr>
            <w:tcW w:w="904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9 999,32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Перечень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создаваемых объектов в рамках муниципальной программы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"Развитие образования города Нижневартовска"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tbl>
      <w:tblPr>
        <w:tblW w:w="1545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9"/>
        <w:gridCol w:w="1134"/>
        <w:gridCol w:w="1134"/>
        <w:gridCol w:w="851"/>
        <w:gridCol w:w="992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741"/>
        <w:gridCol w:w="851"/>
      </w:tblGrid>
      <w:tr>
        <w:tblPrEx/>
        <w:trPr>
          <w:trHeight w:val="20"/>
        </w:trPr>
        <w:tc>
          <w:tcPr>
            <w:tcW w:w="28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объекта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Мощность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Срок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строительства,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проектирования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(характер работ)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Стоимость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объекта в ценах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соответствующих лет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с учетом периода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реализации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проекта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(планируемый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объем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инвестиций)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(тыс. рублей)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  <w:lang w:eastAsia="ru-RU"/>
              </w:rPr>
              <w:t xml:space="preserve">Остаток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  <w:lang w:eastAsia="ru-RU"/>
              </w:rPr>
              <w:t xml:space="preserve">стоимости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  <w:lang w:eastAsia="ru-RU"/>
              </w:rPr>
              <w:t xml:space="preserve">на 01.01.2025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  <w:lang w:eastAsia="ru-RU"/>
              </w:rPr>
              <w:t xml:space="preserve">(тыс. рублей) </w:t>
            </w:r>
            <w:bookmarkStart w:id="0" w:name="_GoBack"/>
            <w:r>
              <w:rPr>
                <w:highlight w:val="white"/>
              </w:rPr>
            </w:r>
            <w:bookmarkEnd w:id="0"/>
            <w:r>
              <w:rPr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  <w:lang w:eastAsia="ru-RU"/>
              </w:rPr>
              <w:t xml:space="preserve">Источники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  <w:lang w:eastAsia="ru-RU"/>
              </w:rPr>
              <w:t xml:space="preserve">финансирования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highlight w:val="white"/>
              </w:rPr>
            </w:r>
          </w:p>
        </w:tc>
        <w:tc>
          <w:tcPr>
            <w:gridSpan w:val="12"/>
            <w:tcW w:w="822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Инвестиции 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(тыс. рублей)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Механизм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реализации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28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2030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2031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2032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2033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2034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2035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2036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b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gridSpan w:val="6"/>
            <w:tcW w:w="538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342 988,96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348 345,70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353 195,00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224 197,50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gridSpan w:val="6"/>
            <w:tcW w:w="5388" w:type="dxa"/>
            <w:vMerge w:val="continue"/>
            <w:textDirection w:val="lrTb"/>
            <w:noWrap w:val="false"/>
          </w:tcPr>
          <w:p>
            <w:pPr>
              <w:ind w:right="-32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265 233,80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268 382,90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271 716,00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193 512,60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gridSpan w:val="6"/>
            <w:tcW w:w="5388" w:type="dxa"/>
            <w:vMerge w:val="continue"/>
            <w:textDirection w:val="lrTb"/>
            <w:noWrap w:val="false"/>
          </w:tcPr>
          <w:p>
            <w:pPr>
              <w:ind w:right="-32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77 755,16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79 962,80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81 479,00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30 684,90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gridSpan w:val="20"/>
            <w:tcW w:w="15452" w:type="dxa"/>
            <w:textDirection w:val="lrTb"/>
            <w:noWrap w:val="false"/>
          </w:tcPr>
          <w:p>
            <w:pPr>
              <w:ind w:right="-32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28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Общеобразовательная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школа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на 1125 учащихся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 квартале №25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г. Нижневартовска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(Общеобразовательная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организация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с универсальной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безбарьерной средой)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1 125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учащихся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2019 год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(ПИР),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2021-2023 годы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(СМР),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2023-2028 годы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(платежи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по концессионному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соглашению)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shd w:val="clear" w:color="auto" w:fill="auto"/>
            <w:tcW w:w="113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highlight w:val="white"/>
                <w:lang w:eastAsia="ru-RU"/>
              </w:rPr>
              <w:t xml:space="preserve">2 367 663,40</w:t>
            </w:r>
            <w:r>
              <w:rPr>
                <w:rFonts w:ascii="Times New Roman" w:hAnsi="Times New Roman" w:eastAsia="Times New Roman"/>
                <w:sz w:val="12"/>
                <w:szCs w:val="12"/>
                <w:highlight w:val="white"/>
              </w:rPr>
            </w:r>
          </w:p>
        </w:tc>
        <w:tc>
          <w:tcPr>
            <w:shd w:val="clear" w:color="auto" w:fill="auto"/>
            <w:tcW w:w="851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highlight w:val="white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1 276 585,56</w:t>
            </w:r>
            <w:r>
              <w:rPr>
                <w:rFonts w:ascii="Times New Roman" w:hAnsi="Times New Roman" w:eastAsia="Times New Roman"/>
                <w:sz w:val="12"/>
                <w:szCs w:val="12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342 988,96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348 345,70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353 195,00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224 197,50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концессия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28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shd w:val="clear" w:color="auto" w:fill="auto"/>
            <w:tcW w:w="11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shd w:val="clear" w:color="auto" w:fill="auto"/>
            <w:tcW w:w="851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автономного 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округа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265 233,80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268 382,90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271 716,00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193 512,60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tcW w:w="28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shd w:val="clear" w:color="auto" w:fill="auto"/>
            <w:tcW w:w="1134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shd w:val="clear" w:color="auto" w:fill="auto"/>
            <w:tcW w:w="851" w:type="dxa"/>
            <w:vMerge w:val="continue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бюджет города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77 755,16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79 962,80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81 479,00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30 684,90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741" w:type="dxa"/>
            <w:textDirection w:val="lrTb"/>
            <w:noWrap w:val="false"/>
          </w:tcPr>
          <w:p>
            <w:pPr>
              <w:ind w:left="-113" w:right="-113"/>
              <w:jc w:val="center"/>
              <w:spacing w:after="0" w:line="240" w:lineRule="auto"/>
              <w:tabs>
                <w:tab w:val="left" w:pos="9923" w:leader="none"/>
              </w:tabs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  <w:r>
              <w:rPr>
                <w:rFonts w:ascii="Times New Roman" w:hAnsi="Times New Roman" w:eastAsia="Times New Roman"/>
                <w:sz w:val="12"/>
                <w:szCs w:val="12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headerReference w:type="first" r:id="rId10"/>
      <w:footnotePr>
        <w:pos w:val="beneathText"/>
      </w:footnotePr>
      <w:endnotePr>
        <w:numFmt w:val="decimal"/>
      </w:endnotePr>
      <w:type w:val="nextPage"/>
      <w:pgSz w:w="16838" w:h="11906" w:orient="landscape"/>
      <w:pgMar w:top="1701" w:right="1134" w:bottom="567" w:left="1134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SimSun">
    <w:panose1 w:val="02000603000000000000"/>
  </w:font>
  <w:font w:name="Calibri Light">
    <w:panose1 w:val="020F050202020403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0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  \* MERGEFORMAT</w:instrText>
    </w:r>
    <w:r>
      <w:rPr>
        <w:sz w:val="24"/>
      </w:rPr>
      <w:fldChar w:fldCharType="separate"/>
    </w:r>
    <w:r>
      <w:rPr>
        <w:sz w:val="24"/>
        <w:lang w:val="ru-RU"/>
      </w:rPr>
      <w:t xml:space="preserve">14</w:t>
    </w:r>
    <w:r>
      <w:rPr>
        <w:sz w:val="24"/>
      </w:rPr>
      <w:fldChar w:fldCharType="end"/>
    </w:r>
    <w:r>
      <w:rPr>
        <w:sz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0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11</w:t>
    </w:r>
    <w:r>
      <w:rPr>
        <w:sz w:val="24"/>
        <w:szCs w:val="24"/>
      </w:rPr>
      <w:fldChar w:fldCharType="end"/>
    </w:r>
    <w:r>
      <w:rPr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</w:lvl>
    <w:lvl w:ilvl="1">
      <w:start w:val="1"/>
      <w:numFmt w:val="decimal"/>
      <w:isLgl w:val="false"/>
      <w:suff w:val="tab"/>
      <w:lvlText w:val="%2."/>
      <w:lvlJc w:val="left"/>
      <w:pPr>
        <w:ind w:left="606" w:hanging="465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91">
    <w:name w:val="Heading 1"/>
    <w:basedOn w:val="690"/>
    <w:next w:val="690"/>
    <w:link w:val="873"/>
    <w:uiPriority w:val="9"/>
    <w:qFormat/>
    <w:pPr>
      <w:keepLines/>
      <w:keepNext/>
      <w:spacing w:before="400" w:after="40" w:line="240" w:lineRule="auto"/>
      <w:outlineLvl w:val="0"/>
    </w:pPr>
    <w:rPr>
      <w:rFonts w:ascii="Calibri Light" w:hAnsi="Calibri Light" w:eastAsia="SimSun"/>
      <w:caps/>
      <w:sz w:val="36"/>
      <w:szCs w:val="36"/>
      <w:lang w:val="en-US"/>
    </w:rPr>
  </w:style>
  <w:style w:type="paragraph" w:styleId="692">
    <w:name w:val="Heading 2"/>
    <w:basedOn w:val="690"/>
    <w:next w:val="690"/>
    <w:link w:val="874"/>
    <w:uiPriority w:val="9"/>
    <w:unhideWhenUsed/>
    <w:qFormat/>
    <w:pPr>
      <w:keepLines/>
      <w:keepNext/>
      <w:spacing w:before="120" w:after="0" w:line="240" w:lineRule="auto"/>
      <w:outlineLvl w:val="1"/>
    </w:pPr>
    <w:rPr>
      <w:rFonts w:ascii="Calibri Light" w:hAnsi="Calibri Light" w:eastAsia="SimSun"/>
      <w:caps/>
      <w:sz w:val="28"/>
      <w:szCs w:val="28"/>
      <w:lang w:val="en-US"/>
    </w:rPr>
  </w:style>
  <w:style w:type="paragraph" w:styleId="693">
    <w:name w:val="Heading 3"/>
    <w:basedOn w:val="690"/>
    <w:next w:val="690"/>
    <w:link w:val="875"/>
    <w:uiPriority w:val="9"/>
    <w:semiHidden/>
    <w:unhideWhenUsed/>
    <w:qFormat/>
    <w:pPr>
      <w:keepLines/>
      <w:keepNext/>
      <w:spacing w:before="120" w:after="0" w:line="240" w:lineRule="auto"/>
      <w:outlineLvl w:val="2"/>
    </w:pPr>
    <w:rPr>
      <w:rFonts w:ascii="Calibri Light" w:hAnsi="Calibri Light" w:eastAsia="SimSun"/>
      <w:smallCaps/>
      <w:sz w:val="28"/>
      <w:szCs w:val="28"/>
      <w:lang w:val="en-US"/>
    </w:rPr>
  </w:style>
  <w:style w:type="paragraph" w:styleId="694">
    <w:name w:val="Heading 4"/>
    <w:basedOn w:val="690"/>
    <w:next w:val="690"/>
    <w:link w:val="876"/>
    <w:uiPriority w:val="9"/>
    <w:semiHidden/>
    <w:unhideWhenUsed/>
    <w:qFormat/>
    <w:pPr>
      <w:keepLines/>
      <w:keepNext/>
      <w:spacing w:before="120" w:after="0"/>
      <w:outlineLvl w:val="3"/>
    </w:pPr>
    <w:rPr>
      <w:rFonts w:ascii="Calibri Light" w:hAnsi="Calibri Light" w:eastAsia="SimSun"/>
      <w:caps/>
      <w:sz w:val="20"/>
      <w:szCs w:val="20"/>
      <w:lang w:val="en-US"/>
    </w:rPr>
  </w:style>
  <w:style w:type="paragraph" w:styleId="695">
    <w:name w:val="Heading 5"/>
    <w:basedOn w:val="690"/>
    <w:next w:val="690"/>
    <w:link w:val="877"/>
    <w:uiPriority w:val="9"/>
    <w:semiHidden/>
    <w:unhideWhenUsed/>
    <w:qFormat/>
    <w:pPr>
      <w:keepLines/>
      <w:keepNext/>
      <w:spacing w:before="120" w:after="0"/>
      <w:outlineLvl w:val="4"/>
    </w:pPr>
    <w:rPr>
      <w:rFonts w:ascii="Calibri Light" w:hAnsi="Calibri Light" w:eastAsia="SimSun"/>
      <w:i/>
      <w:iCs/>
      <w:caps/>
      <w:sz w:val="20"/>
      <w:szCs w:val="20"/>
      <w:lang w:val="en-US"/>
    </w:rPr>
  </w:style>
  <w:style w:type="paragraph" w:styleId="696">
    <w:name w:val="Heading 6"/>
    <w:basedOn w:val="690"/>
    <w:next w:val="690"/>
    <w:link w:val="878"/>
    <w:uiPriority w:val="9"/>
    <w:semiHidden/>
    <w:unhideWhenUsed/>
    <w:qFormat/>
    <w:pPr>
      <w:keepLines/>
      <w:keepNext/>
      <w:spacing w:before="120" w:after="0"/>
      <w:outlineLvl w:val="5"/>
    </w:pPr>
    <w:rPr>
      <w:rFonts w:ascii="Calibri Light" w:hAnsi="Calibri Light" w:eastAsia="SimSun"/>
      <w:b/>
      <w:bCs/>
      <w:caps/>
      <w:color w:val="262626"/>
      <w:sz w:val="20"/>
      <w:szCs w:val="20"/>
      <w:lang w:val="en-US"/>
    </w:rPr>
  </w:style>
  <w:style w:type="paragraph" w:styleId="697">
    <w:name w:val="Heading 7"/>
    <w:basedOn w:val="690"/>
    <w:next w:val="690"/>
    <w:link w:val="879"/>
    <w:uiPriority w:val="9"/>
    <w:semiHidden/>
    <w:unhideWhenUsed/>
    <w:qFormat/>
    <w:pPr>
      <w:keepLines/>
      <w:keepNext/>
      <w:spacing w:before="120" w:after="0"/>
      <w:outlineLvl w:val="6"/>
    </w:pPr>
    <w:rPr>
      <w:rFonts w:ascii="Calibri Light" w:hAnsi="Calibri Light" w:eastAsia="SimSun"/>
      <w:b/>
      <w:bCs/>
      <w:i/>
      <w:iCs/>
      <w:caps/>
      <w:color w:val="262626"/>
      <w:sz w:val="20"/>
      <w:szCs w:val="20"/>
      <w:lang w:val="en-US"/>
    </w:rPr>
  </w:style>
  <w:style w:type="paragraph" w:styleId="698">
    <w:name w:val="Heading 8"/>
    <w:basedOn w:val="690"/>
    <w:next w:val="690"/>
    <w:link w:val="880"/>
    <w:uiPriority w:val="9"/>
    <w:semiHidden/>
    <w:unhideWhenUsed/>
    <w:qFormat/>
    <w:pPr>
      <w:keepLines/>
      <w:keepNext/>
      <w:spacing w:before="120" w:after="0"/>
      <w:outlineLvl w:val="7"/>
    </w:pPr>
    <w:rPr>
      <w:rFonts w:ascii="Calibri Light" w:hAnsi="Calibri Light" w:eastAsia="SimSun"/>
      <w:b/>
      <w:bCs/>
      <w:caps/>
      <w:color w:val="7f7f7f"/>
      <w:sz w:val="20"/>
      <w:szCs w:val="20"/>
      <w:lang w:val="en-US"/>
    </w:rPr>
  </w:style>
  <w:style w:type="paragraph" w:styleId="699">
    <w:name w:val="Heading 9"/>
    <w:basedOn w:val="690"/>
    <w:next w:val="690"/>
    <w:link w:val="881"/>
    <w:uiPriority w:val="9"/>
    <w:semiHidden/>
    <w:unhideWhenUsed/>
    <w:qFormat/>
    <w:pPr>
      <w:keepLines/>
      <w:keepNext/>
      <w:spacing w:before="120" w:after="0"/>
      <w:outlineLvl w:val="8"/>
    </w:pPr>
    <w:rPr>
      <w:rFonts w:ascii="Calibri Light" w:hAnsi="Calibri Light" w:eastAsia="SimSun"/>
      <w:b/>
      <w:bCs/>
      <w:i/>
      <w:iCs/>
      <w:caps/>
      <w:color w:val="7f7f7f"/>
      <w:sz w:val="20"/>
      <w:szCs w:val="20"/>
      <w:lang w:val="en-US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character" w:styleId="703" w:customStyle="1">
    <w:name w:val="Caption Char"/>
    <w:basedOn w:val="700"/>
    <w:uiPriority w:val="35"/>
    <w:rPr>
      <w:b/>
      <w:bCs/>
      <w:color w:val="4f81bd" w:themeColor="accent1"/>
      <w:sz w:val="18"/>
      <w:szCs w:val="18"/>
    </w:rPr>
  </w:style>
  <w:style w:type="paragraph" w:styleId="704">
    <w:name w:val="List Paragraph"/>
    <w:basedOn w:val="690"/>
    <w:uiPriority w:val="34"/>
    <w:qFormat/>
    <w:pPr>
      <w:contextualSpacing/>
      <w:ind w:left="720"/>
    </w:pPr>
    <w:rPr>
      <w:rFonts w:eastAsia="Times New Roman"/>
      <w:lang w:eastAsia="ru-RU"/>
    </w:rPr>
  </w:style>
  <w:style w:type="paragraph" w:styleId="705">
    <w:name w:val="No Spacing"/>
    <w:link w:val="926"/>
    <w:uiPriority w:val="1"/>
    <w:qFormat/>
    <w:rPr>
      <w:rFonts w:eastAsia="Times New Roman"/>
      <w:sz w:val="22"/>
      <w:szCs w:val="22"/>
      <w:lang w:eastAsia="ru-RU"/>
    </w:rPr>
  </w:style>
  <w:style w:type="paragraph" w:styleId="706">
    <w:name w:val="Title"/>
    <w:basedOn w:val="690"/>
    <w:next w:val="690"/>
    <w:link w:val="913"/>
    <w:uiPriority w:val="10"/>
    <w:qFormat/>
    <w:pPr>
      <w:contextualSpacing/>
      <w:spacing w:after="0" w:line="240" w:lineRule="auto"/>
    </w:pPr>
    <w:rPr>
      <w:rFonts w:ascii="Calibri Light" w:hAnsi="Calibri Light" w:eastAsia="SimSun"/>
      <w:caps/>
      <w:color w:val="404040"/>
      <w:spacing w:val="-10"/>
      <w:sz w:val="72"/>
      <w:szCs w:val="72"/>
      <w:lang w:val="en-US"/>
    </w:rPr>
  </w:style>
  <w:style w:type="paragraph" w:styleId="707">
    <w:name w:val="Subtitle"/>
    <w:basedOn w:val="690"/>
    <w:next w:val="690"/>
    <w:link w:val="914"/>
    <w:uiPriority w:val="11"/>
    <w:qFormat/>
    <w:pPr>
      <w:numPr>
        <w:ilvl w:val="1"/>
      </w:numPr>
    </w:pPr>
    <w:rPr>
      <w:rFonts w:ascii="Calibri Light" w:hAnsi="Calibri Light" w:eastAsia="SimSun"/>
      <w:smallCaps/>
      <w:color w:val="595959"/>
      <w:sz w:val="28"/>
      <w:szCs w:val="28"/>
      <w:lang w:val="en-US"/>
    </w:rPr>
  </w:style>
  <w:style w:type="paragraph" w:styleId="708">
    <w:name w:val="Quote"/>
    <w:basedOn w:val="690"/>
    <w:next w:val="690"/>
    <w:link w:val="916"/>
    <w:uiPriority w:val="29"/>
    <w:qFormat/>
    <w:pPr>
      <w:ind w:left="720" w:right="720"/>
      <w:spacing w:before="160" w:line="240" w:lineRule="auto"/>
    </w:pPr>
    <w:rPr>
      <w:rFonts w:ascii="Calibri Light" w:hAnsi="Calibri Light" w:eastAsia="SimSun"/>
      <w:sz w:val="25"/>
      <w:szCs w:val="25"/>
      <w:lang w:val="en-US"/>
    </w:rPr>
  </w:style>
  <w:style w:type="paragraph" w:styleId="709">
    <w:name w:val="Intense Quote"/>
    <w:basedOn w:val="690"/>
    <w:next w:val="690"/>
    <w:link w:val="917"/>
    <w:uiPriority w:val="30"/>
    <w:qFormat/>
    <w:pPr>
      <w:ind w:left="1080" w:right="1080"/>
      <w:jc w:val="center"/>
      <w:spacing w:before="280" w:after="280" w:line="240" w:lineRule="auto"/>
    </w:pPr>
    <w:rPr>
      <w:rFonts w:eastAsia="Times New Roman"/>
      <w:color w:val="404040"/>
      <w:sz w:val="32"/>
      <w:szCs w:val="32"/>
      <w:lang w:val="en-US"/>
    </w:rPr>
  </w:style>
  <w:style w:type="paragraph" w:styleId="710">
    <w:name w:val="Header"/>
    <w:basedOn w:val="690"/>
    <w:link w:val="88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/>
      <w:sz w:val="20"/>
      <w:szCs w:val="20"/>
      <w:lang w:val="en-US"/>
    </w:rPr>
  </w:style>
  <w:style w:type="paragraph" w:styleId="711">
    <w:name w:val="Footer"/>
    <w:basedOn w:val="690"/>
    <w:link w:val="89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/>
      <w:sz w:val="20"/>
      <w:szCs w:val="20"/>
      <w:lang w:val="en-US"/>
    </w:rPr>
  </w:style>
  <w:style w:type="paragraph" w:styleId="712">
    <w:name w:val="Caption"/>
    <w:basedOn w:val="690"/>
    <w:next w:val="690"/>
    <w:link w:val="764"/>
    <w:uiPriority w:val="35"/>
    <w:semiHidden/>
    <w:unhideWhenUsed/>
    <w:qFormat/>
    <w:pPr>
      <w:spacing w:line="240" w:lineRule="auto"/>
    </w:pPr>
    <w:rPr>
      <w:rFonts w:eastAsia="Times New Roman"/>
      <w:b/>
      <w:bCs/>
      <w:smallCaps/>
      <w:color w:val="595959"/>
      <w:lang w:eastAsia="ru-RU"/>
    </w:rPr>
  </w:style>
  <w:style w:type="table" w:styleId="713">
    <w:name w:val="Table Grid"/>
    <w:basedOn w:val="701"/>
    <w:rPr>
      <w:rFonts w:eastAsia="Times New Roman"/>
      <w:lang w:eastAsia="ru-RU"/>
    </w:rPr>
    <w:tblPr/>
  </w:style>
  <w:style w:type="table" w:styleId="714">
    <w:name w:val="Plain Table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5">
    <w:name w:val="Plain Table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6">
    <w:name w:val="Plain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7">
    <w:name w:val="Plain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8">
    <w:name w:val="Plain Table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Grid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Grid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1">
    <w:name w:val="Grid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2">
    <w:name w:val="Grid Table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3">
    <w:name w:val="Grid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4">
    <w:name w:val="Grid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Grid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List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List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8">
    <w:name w:val="List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9">
    <w:name w:val="List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30">
    <w:name w:val="List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31">
    <w:name w:val="List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32">
    <w:name w:val="List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33">
    <w:name w:val="Hyperlink"/>
    <w:uiPriority w:val="99"/>
    <w:unhideWhenUsed/>
    <w:rPr>
      <w:color w:val="0000ff"/>
      <w:u w:val="single"/>
    </w:rPr>
  </w:style>
  <w:style w:type="paragraph" w:styleId="734">
    <w:name w:val="footnote text"/>
    <w:basedOn w:val="690"/>
    <w:link w:val="894"/>
    <w:uiPriority w:val="99"/>
    <w:unhideWhenUsed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styleId="735">
    <w:name w:val="footnote reference"/>
    <w:uiPriority w:val="99"/>
    <w:unhideWhenUsed/>
    <w:rPr>
      <w:vertAlign w:val="superscript"/>
    </w:rPr>
  </w:style>
  <w:style w:type="paragraph" w:styleId="736">
    <w:name w:val="endnote text"/>
    <w:basedOn w:val="690"/>
    <w:link w:val="893"/>
    <w:uiPriority w:val="99"/>
    <w:semiHidden/>
    <w:unhideWhenUsed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styleId="737">
    <w:name w:val="endnote reference"/>
    <w:uiPriority w:val="99"/>
    <w:semiHidden/>
    <w:unhideWhenUsed/>
    <w:rPr>
      <w:vertAlign w:val="superscript"/>
    </w:rPr>
  </w:style>
  <w:style w:type="paragraph" w:styleId="738">
    <w:name w:val="toc 1"/>
    <w:basedOn w:val="690"/>
    <w:next w:val="690"/>
    <w:uiPriority w:val="39"/>
    <w:unhideWhenUsed/>
    <w:pPr>
      <w:spacing w:after="57"/>
    </w:pPr>
  </w:style>
  <w:style w:type="paragraph" w:styleId="739">
    <w:name w:val="toc 2"/>
    <w:basedOn w:val="690"/>
    <w:next w:val="690"/>
    <w:uiPriority w:val="39"/>
    <w:unhideWhenUsed/>
    <w:pPr>
      <w:ind w:left="283"/>
      <w:spacing w:after="57"/>
    </w:pPr>
  </w:style>
  <w:style w:type="paragraph" w:styleId="740">
    <w:name w:val="toc 3"/>
    <w:basedOn w:val="690"/>
    <w:next w:val="690"/>
    <w:uiPriority w:val="39"/>
    <w:unhideWhenUsed/>
    <w:pPr>
      <w:ind w:left="567"/>
      <w:spacing w:after="57"/>
    </w:pPr>
  </w:style>
  <w:style w:type="paragraph" w:styleId="741">
    <w:name w:val="toc 4"/>
    <w:basedOn w:val="690"/>
    <w:next w:val="690"/>
    <w:uiPriority w:val="39"/>
    <w:unhideWhenUsed/>
    <w:pPr>
      <w:ind w:left="850"/>
      <w:spacing w:after="57"/>
    </w:pPr>
  </w:style>
  <w:style w:type="paragraph" w:styleId="742">
    <w:name w:val="toc 5"/>
    <w:basedOn w:val="690"/>
    <w:next w:val="690"/>
    <w:uiPriority w:val="39"/>
    <w:unhideWhenUsed/>
    <w:pPr>
      <w:ind w:left="1134"/>
      <w:spacing w:after="57"/>
    </w:pPr>
  </w:style>
  <w:style w:type="paragraph" w:styleId="743">
    <w:name w:val="toc 6"/>
    <w:basedOn w:val="690"/>
    <w:next w:val="690"/>
    <w:uiPriority w:val="39"/>
    <w:unhideWhenUsed/>
    <w:pPr>
      <w:ind w:left="1417"/>
      <w:spacing w:after="57"/>
    </w:pPr>
  </w:style>
  <w:style w:type="paragraph" w:styleId="744">
    <w:name w:val="toc 7"/>
    <w:basedOn w:val="690"/>
    <w:next w:val="690"/>
    <w:uiPriority w:val="39"/>
    <w:unhideWhenUsed/>
    <w:pPr>
      <w:ind w:left="1701"/>
      <w:spacing w:after="57"/>
    </w:pPr>
  </w:style>
  <w:style w:type="paragraph" w:styleId="745">
    <w:name w:val="toc 8"/>
    <w:basedOn w:val="690"/>
    <w:next w:val="690"/>
    <w:uiPriority w:val="39"/>
    <w:unhideWhenUsed/>
    <w:pPr>
      <w:ind w:left="1984"/>
      <w:spacing w:after="57"/>
    </w:pPr>
  </w:style>
  <w:style w:type="paragraph" w:styleId="746">
    <w:name w:val="toc 9"/>
    <w:basedOn w:val="690"/>
    <w:next w:val="690"/>
    <w:uiPriority w:val="39"/>
    <w:unhideWhenUsed/>
    <w:pPr>
      <w:ind w:left="2268"/>
      <w:spacing w:after="57"/>
    </w:pPr>
  </w:style>
  <w:style w:type="paragraph" w:styleId="747">
    <w:name w:val="TOC Heading"/>
    <w:basedOn w:val="691"/>
    <w:next w:val="690"/>
    <w:uiPriority w:val="39"/>
    <w:semiHidden/>
    <w:unhideWhenUsed/>
    <w:qFormat/>
    <w:pPr>
      <w:outlineLvl w:val="9"/>
    </w:pPr>
  </w:style>
  <w:style w:type="paragraph" w:styleId="748">
    <w:name w:val="table of figures"/>
    <w:basedOn w:val="690"/>
    <w:next w:val="690"/>
    <w:uiPriority w:val="99"/>
    <w:unhideWhenUsed/>
    <w:pPr>
      <w:spacing w:after="0"/>
    </w:pPr>
  </w:style>
  <w:style w:type="character" w:styleId="74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50" w:customStyle="1">
    <w:name w:val="Heading 2 Char"/>
    <w:uiPriority w:val="9"/>
    <w:rPr>
      <w:rFonts w:ascii="Arial" w:hAnsi="Arial" w:eastAsia="Arial" w:cs="Arial"/>
      <w:sz w:val="34"/>
    </w:rPr>
  </w:style>
  <w:style w:type="character" w:styleId="751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52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58" w:customStyle="1">
    <w:name w:val="Title Char"/>
    <w:uiPriority w:val="10"/>
    <w:rPr>
      <w:sz w:val="48"/>
      <w:szCs w:val="48"/>
    </w:rPr>
  </w:style>
  <w:style w:type="character" w:styleId="759" w:customStyle="1">
    <w:name w:val="Subtitle Char"/>
    <w:uiPriority w:val="11"/>
    <w:rPr>
      <w:sz w:val="24"/>
      <w:szCs w:val="24"/>
    </w:rPr>
  </w:style>
  <w:style w:type="character" w:styleId="760" w:customStyle="1">
    <w:name w:val="Quote Char"/>
    <w:uiPriority w:val="29"/>
    <w:rPr>
      <w:i/>
    </w:rPr>
  </w:style>
  <w:style w:type="character" w:styleId="761" w:customStyle="1">
    <w:name w:val="Intense Quote Char"/>
    <w:uiPriority w:val="30"/>
    <w:rPr>
      <w:i/>
    </w:rPr>
  </w:style>
  <w:style w:type="character" w:styleId="762" w:customStyle="1">
    <w:name w:val="Header Char"/>
    <w:uiPriority w:val="99"/>
  </w:style>
  <w:style w:type="character" w:styleId="763" w:customStyle="1">
    <w:name w:val="Footer Char"/>
    <w:uiPriority w:val="99"/>
  </w:style>
  <w:style w:type="character" w:styleId="764" w:customStyle="1">
    <w:name w:val="Название объекта Знак"/>
    <w:link w:val="712"/>
    <w:uiPriority w:val="99"/>
  </w:style>
  <w:style w:type="table" w:styleId="765" w:customStyle="1">
    <w:name w:val="Table Grid Light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3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5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6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5 Dark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4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4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4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4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4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4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5 Dark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5 Dark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&amp; 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&amp; 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&amp; 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&amp; 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&amp; 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&amp; 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&amp; 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871" w:customStyle="1">
    <w:name w:val="Footnote Text Char"/>
    <w:uiPriority w:val="99"/>
    <w:rPr>
      <w:sz w:val="18"/>
    </w:rPr>
  </w:style>
  <w:style w:type="character" w:styleId="872" w:customStyle="1">
    <w:name w:val="Endnote Text Char"/>
    <w:uiPriority w:val="99"/>
    <w:rPr>
      <w:sz w:val="20"/>
    </w:rPr>
  </w:style>
  <w:style w:type="character" w:styleId="873" w:customStyle="1">
    <w:name w:val="Заголовок 1 Знак"/>
    <w:link w:val="691"/>
    <w:uiPriority w:val="9"/>
    <w:rPr>
      <w:rFonts w:ascii="Calibri Light" w:hAnsi="Calibri Light" w:eastAsia="SimSun" w:cs="Times New Roman"/>
      <w:caps/>
      <w:sz w:val="36"/>
      <w:szCs w:val="36"/>
      <w:lang w:val="en-US" w:eastAsia="en-US"/>
    </w:rPr>
  </w:style>
  <w:style w:type="character" w:styleId="874" w:customStyle="1">
    <w:name w:val="Заголовок 2 Знак"/>
    <w:link w:val="692"/>
    <w:uiPriority w:val="9"/>
    <w:rPr>
      <w:rFonts w:ascii="Calibri Light" w:hAnsi="Calibri Light" w:eastAsia="SimSun" w:cs="Times New Roman"/>
      <w:caps/>
      <w:sz w:val="28"/>
      <w:szCs w:val="28"/>
      <w:lang w:val="en-US" w:eastAsia="en-US"/>
    </w:rPr>
  </w:style>
  <w:style w:type="character" w:styleId="875" w:customStyle="1">
    <w:name w:val="Заголовок 3 Знак"/>
    <w:link w:val="693"/>
    <w:uiPriority w:val="9"/>
    <w:semiHidden/>
    <w:rPr>
      <w:rFonts w:ascii="Calibri Light" w:hAnsi="Calibri Light" w:eastAsia="SimSun" w:cs="Times New Roman"/>
      <w:smallCaps/>
      <w:sz w:val="28"/>
      <w:szCs w:val="28"/>
      <w:lang w:val="en-US" w:eastAsia="en-US"/>
    </w:rPr>
  </w:style>
  <w:style w:type="character" w:styleId="876" w:customStyle="1">
    <w:name w:val="Заголовок 4 Знак"/>
    <w:link w:val="694"/>
    <w:uiPriority w:val="9"/>
    <w:semiHidden/>
    <w:rPr>
      <w:rFonts w:ascii="Calibri Light" w:hAnsi="Calibri Light" w:eastAsia="SimSun" w:cs="Times New Roman"/>
      <w:caps/>
      <w:sz w:val="20"/>
      <w:szCs w:val="20"/>
      <w:lang w:val="en-US" w:eastAsia="en-US"/>
    </w:rPr>
  </w:style>
  <w:style w:type="character" w:styleId="877" w:customStyle="1">
    <w:name w:val="Заголовок 5 Знак"/>
    <w:link w:val="695"/>
    <w:uiPriority w:val="9"/>
    <w:semiHidden/>
    <w:rPr>
      <w:rFonts w:ascii="Calibri Light" w:hAnsi="Calibri Light" w:eastAsia="SimSun" w:cs="Times New Roman"/>
      <w:i/>
      <w:iCs/>
      <w:caps/>
      <w:sz w:val="20"/>
      <w:szCs w:val="20"/>
      <w:lang w:val="en-US" w:eastAsia="en-US"/>
    </w:rPr>
  </w:style>
  <w:style w:type="character" w:styleId="878" w:customStyle="1">
    <w:name w:val="Заголовок 6 Знак"/>
    <w:link w:val="696"/>
    <w:uiPriority w:val="9"/>
    <w:semiHidden/>
    <w:rPr>
      <w:rFonts w:ascii="Calibri Light" w:hAnsi="Calibri Light" w:eastAsia="SimSun" w:cs="Times New Roman"/>
      <w:b/>
      <w:bCs/>
      <w:caps/>
      <w:color w:val="262626"/>
      <w:sz w:val="20"/>
      <w:szCs w:val="20"/>
      <w:lang w:val="en-US" w:eastAsia="en-US"/>
    </w:rPr>
  </w:style>
  <w:style w:type="character" w:styleId="879" w:customStyle="1">
    <w:name w:val="Заголовок 7 Знак"/>
    <w:link w:val="697"/>
    <w:uiPriority w:val="9"/>
    <w:semiHidden/>
    <w:rPr>
      <w:rFonts w:ascii="Calibri Light" w:hAnsi="Calibri Light" w:eastAsia="SimSun" w:cs="Times New Roman"/>
      <w:b/>
      <w:bCs/>
      <w:i/>
      <w:iCs/>
      <w:caps/>
      <w:color w:val="262626"/>
      <w:sz w:val="20"/>
      <w:szCs w:val="20"/>
      <w:lang w:val="en-US" w:eastAsia="en-US"/>
    </w:rPr>
  </w:style>
  <w:style w:type="character" w:styleId="880" w:customStyle="1">
    <w:name w:val="Заголовок 8 Знак"/>
    <w:link w:val="698"/>
    <w:uiPriority w:val="9"/>
    <w:semiHidden/>
    <w:rPr>
      <w:rFonts w:ascii="Calibri Light" w:hAnsi="Calibri Light" w:eastAsia="SimSun" w:cs="Times New Roman"/>
      <w:b/>
      <w:bCs/>
      <w:caps/>
      <w:color w:val="7f7f7f"/>
      <w:sz w:val="20"/>
      <w:szCs w:val="20"/>
      <w:lang w:val="en-US" w:eastAsia="en-US"/>
    </w:rPr>
  </w:style>
  <w:style w:type="character" w:styleId="881" w:customStyle="1">
    <w:name w:val="Заголовок 9 Знак"/>
    <w:link w:val="699"/>
    <w:uiPriority w:val="9"/>
    <w:semiHidden/>
    <w:rPr>
      <w:rFonts w:ascii="Calibri Light" w:hAnsi="Calibri Light" w:eastAsia="SimSun" w:cs="Times New Roman"/>
      <w:b/>
      <w:bCs/>
      <w:i/>
      <w:iCs/>
      <w:caps/>
      <w:color w:val="7f7f7f"/>
      <w:sz w:val="20"/>
      <w:szCs w:val="20"/>
      <w:lang w:val="en-US" w:eastAsia="en-US"/>
    </w:rPr>
  </w:style>
  <w:style w:type="numbering" w:styleId="882" w:customStyle="1">
    <w:name w:val="Нет списка1"/>
    <w:next w:val="702"/>
    <w:uiPriority w:val="99"/>
    <w:semiHidden/>
    <w:unhideWhenUsed/>
  </w:style>
  <w:style w:type="numbering" w:styleId="883" w:customStyle="1">
    <w:name w:val="Нет списка11"/>
    <w:next w:val="702"/>
    <w:uiPriority w:val="99"/>
    <w:semiHidden/>
    <w:unhideWhenUsed/>
  </w:style>
  <w:style w:type="paragraph" w:styleId="884">
    <w:name w:val="Balloon Text"/>
    <w:basedOn w:val="690"/>
    <w:link w:val="885"/>
    <w:uiPriority w:val="99"/>
    <w:semiHidden/>
    <w:unhideWhenUsed/>
    <w:pPr>
      <w:spacing w:after="0" w:line="240" w:lineRule="auto"/>
    </w:pPr>
    <w:rPr>
      <w:rFonts w:ascii="Segoe UI" w:hAnsi="Segoe UI" w:eastAsia="Times New Roman"/>
      <w:sz w:val="18"/>
      <w:szCs w:val="18"/>
      <w:lang w:val="en-US"/>
    </w:rPr>
  </w:style>
  <w:style w:type="character" w:styleId="885" w:customStyle="1">
    <w:name w:val="Текст выноски Знак"/>
    <w:link w:val="884"/>
    <w:uiPriority w:val="99"/>
    <w:semiHidden/>
    <w:rPr>
      <w:rFonts w:ascii="Segoe UI" w:hAnsi="Segoe UI" w:eastAsia="Times New Roman" w:cs="Times New Roman"/>
      <w:sz w:val="18"/>
      <w:szCs w:val="18"/>
      <w:lang w:val="en-US"/>
    </w:rPr>
  </w:style>
  <w:style w:type="numbering" w:styleId="886" w:customStyle="1">
    <w:name w:val="Нет списка111"/>
    <w:next w:val="702"/>
    <w:uiPriority w:val="99"/>
    <w:semiHidden/>
    <w:unhideWhenUsed/>
  </w:style>
  <w:style w:type="paragraph" w:styleId="887" w:customStyle="1">
    <w:name w:val="ConsPlusNormal"/>
    <w:link w:val="925"/>
    <w:qFormat/>
    <w:pPr>
      <w:spacing w:after="160" w:line="259" w:lineRule="auto"/>
      <w:widowControl w:val="off"/>
    </w:pPr>
    <w:rPr>
      <w:rFonts w:eastAsia="Times New Roman" w:cs="Calibri"/>
      <w:sz w:val="22"/>
      <w:szCs w:val="22"/>
      <w:lang w:eastAsia="ru-RU"/>
    </w:rPr>
  </w:style>
  <w:style w:type="paragraph" w:styleId="888" w:customStyle="1">
    <w:name w:val="ConsPlusTitle"/>
    <w:pPr>
      <w:spacing w:after="160" w:line="259" w:lineRule="auto"/>
      <w:widowControl w:val="off"/>
    </w:pPr>
    <w:rPr>
      <w:rFonts w:ascii="Arial" w:hAnsi="Arial" w:eastAsia="Times New Roman" w:cs="Arial"/>
      <w:b/>
      <w:bCs/>
      <w:sz w:val="22"/>
      <w:szCs w:val="22"/>
      <w:lang w:eastAsia="ru-RU"/>
    </w:rPr>
  </w:style>
  <w:style w:type="character" w:styleId="889" w:customStyle="1">
    <w:name w:val="Верхний колонтитул Знак"/>
    <w:link w:val="710"/>
    <w:uiPriority w:val="99"/>
    <w:rPr>
      <w:rFonts w:ascii="Times New Roman" w:hAnsi="Times New Roman" w:eastAsia="Times New Roman" w:cs="Times New Roman"/>
      <w:sz w:val="20"/>
      <w:szCs w:val="20"/>
      <w:lang w:val="en-US" w:eastAsia="en-US"/>
    </w:rPr>
  </w:style>
  <w:style w:type="character" w:styleId="890" w:customStyle="1">
    <w:name w:val="Нижний колонтитул Знак"/>
    <w:link w:val="711"/>
    <w:uiPriority w:val="99"/>
    <w:rPr>
      <w:rFonts w:ascii="Times New Roman" w:hAnsi="Times New Roman" w:eastAsia="Times New Roman" w:cs="Times New Roman"/>
      <w:sz w:val="20"/>
      <w:szCs w:val="20"/>
      <w:lang w:val="en-US" w:eastAsia="en-US"/>
    </w:rPr>
  </w:style>
  <w:style w:type="numbering" w:styleId="891" w:customStyle="1">
    <w:name w:val="Нет списка1111"/>
    <w:next w:val="702"/>
    <w:uiPriority w:val="99"/>
    <w:semiHidden/>
    <w:unhideWhenUsed/>
  </w:style>
  <w:style w:type="paragraph" w:styleId="892" w:customStyle="1">
    <w:name w:val="ConsPlusNonformat"/>
    <w:pPr>
      <w:spacing w:after="160" w:line="259" w:lineRule="auto"/>
      <w:widowControl w:val="off"/>
    </w:pPr>
    <w:rPr>
      <w:rFonts w:ascii="Courier New" w:hAnsi="Courier New" w:eastAsia="Times New Roman" w:cs="Courier New"/>
      <w:sz w:val="22"/>
      <w:szCs w:val="22"/>
      <w:lang w:eastAsia="ru-RU"/>
    </w:rPr>
  </w:style>
  <w:style w:type="character" w:styleId="893" w:customStyle="1">
    <w:name w:val="Текст концевой сноски Знак"/>
    <w:link w:val="736"/>
    <w:uiPriority w:val="99"/>
    <w:semiHidden/>
    <w:rPr>
      <w:rFonts w:ascii="Calibri" w:hAnsi="Calibri" w:eastAsia="Times New Roman" w:cs="Times New Roman"/>
      <w:sz w:val="20"/>
      <w:szCs w:val="20"/>
      <w:lang w:val="en-US" w:eastAsia="en-US"/>
    </w:rPr>
  </w:style>
  <w:style w:type="character" w:styleId="894" w:customStyle="1">
    <w:name w:val="Текст сноски Знак"/>
    <w:link w:val="734"/>
    <w:uiPriority w:val="99"/>
    <w:rPr>
      <w:rFonts w:ascii="Calibri" w:hAnsi="Calibri" w:eastAsia="Times New Roman" w:cs="Times New Roman"/>
      <w:sz w:val="20"/>
      <w:szCs w:val="20"/>
      <w:lang w:val="en-US" w:eastAsia="en-US"/>
    </w:rPr>
  </w:style>
  <w:style w:type="table" w:styleId="895" w:customStyle="1">
    <w:name w:val="Сетка таблицы1"/>
    <w:basedOn w:val="701"/>
    <w:next w:val="713"/>
    <w:rPr>
      <w:rFonts w:eastAsia="Times New Roman"/>
      <w:lang w:eastAsia="ru-RU"/>
    </w:rPr>
    <w:tblPr/>
  </w:style>
  <w:style w:type="paragraph" w:styleId="896" w:customStyle="1">
    <w:name w:val="formattext"/>
    <w:basedOn w:val="69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97">
    <w:name w:val="annotation reference"/>
    <w:uiPriority w:val="99"/>
    <w:semiHidden/>
    <w:unhideWhenUsed/>
    <w:rPr>
      <w:sz w:val="16"/>
      <w:szCs w:val="16"/>
    </w:rPr>
  </w:style>
  <w:style w:type="paragraph" w:styleId="898">
    <w:name w:val="annotation text"/>
    <w:basedOn w:val="690"/>
    <w:link w:val="899"/>
    <w:uiPriority w:val="99"/>
    <w:semiHidden/>
    <w:unhideWhenUsed/>
    <w:pPr>
      <w:spacing w:after="0" w:line="240" w:lineRule="auto"/>
    </w:pPr>
    <w:rPr>
      <w:rFonts w:ascii="Times New Roman" w:hAnsi="Times New Roman" w:eastAsia="Times New Roman"/>
      <w:sz w:val="20"/>
      <w:szCs w:val="20"/>
      <w:lang w:val="en-US"/>
    </w:rPr>
  </w:style>
  <w:style w:type="character" w:styleId="899" w:customStyle="1">
    <w:name w:val="Текст примечания Знак"/>
    <w:link w:val="898"/>
    <w:uiPriority w:val="99"/>
    <w:semiHidden/>
    <w:rPr>
      <w:rFonts w:ascii="Times New Roman" w:hAnsi="Times New Roman" w:eastAsia="Times New Roman" w:cs="Times New Roman"/>
      <w:sz w:val="20"/>
      <w:szCs w:val="20"/>
      <w:lang w:val="en-US" w:eastAsia="en-US"/>
    </w:rPr>
  </w:style>
  <w:style w:type="paragraph" w:styleId="900">
    <w:name w:val="annotation subject"/>
    <w:basedOn w:val="898"/>
    <w:next w:val="898"/>
    <w:link w:val="901"/>
    <w:uiPriority w:val="99"/>
    <w:semiHidden/>
    <w:unhideWhenUsed/>
    <w:rPr>
      <w:b/>
      <w:bCs/>
    </w:rPr>
  </w:style>
  <w:style w:type="character" w:styleId="901" w:customStyle="1">
    <w:name w:val="Тема примечания Знак"/>
    <w:link w:val="900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val="en-US" w:eastAsia="en-US"/>
    </w:rPr>
  </w:style>
  <w:style w:type="character" w:styleId="902" w:customStyle="1">
    <w:name w:val="hl"/>
  </w:style>
  <w:style w:type="character" w:styleId="903" w:customStyle="1">
    <w:name w:val="nobr"/>
  </w:style>
  <w:style w:type="paragraph" w:styleId="904" w:customStyle="1">
    <w:name w:val="Обычный1"/>
    <w:pPr>
      <w:spacing w:after="160" w:line="259" w:lineRule="auto"/>
    </w:pPr>
    <w:rPr>
      <w:rFonts w:ascii="Times New Roman" w:hAnsi="Times New Roman" w:eastAsia="Times New Roman"/>
      <w:sz w:val="24"/>
      <w:szCs w:val="22"/>
      <w:lang w:eastAsia="ru-RU"/>
    </w:rPr>
  </w:style>
  <w:style w:type="paragraph" w:styleId="905">
    <w:name w:val="Normal (Web)"/>
    <w:basedOn w:val="690"/>
    <w:uiPriority w:val="99"/>
    <w:pPr>
      <w:spacing w:after="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06">
    <w:name w:val="Body Text"/>
    <w:basedOn w:val="690"/>
    <w:link w:val="907"/>
    <w:pPr>
      <w:jc w:val="both"/>
      <w:spacing w:after="0" w:line="240" w:lineRule="auto"/>
    </w:pPr>
    <w:rPr>
      <w:rFonts w:ascii="Times New Roman" w:hAnsi="Times New Roman" w:eastAsia="Times New Roman"/>
      <w:sz w:val="28"/>
      <w:szCs w:val="20"/>
      <w:lang w:val="en-US"/>
    </w:rPr>
  </w:style>
  <w:style w:type="character" w:styleId="907" w:customStyle="1">
    <w:name w:val="Основной текст Знак"/>
    <w:link w:val="906"/>
    <w:rPr>
      <w:rFonts w:ascii="Times New Roman" w:hAnsi="Times New Roman" w:eastAsia="Times New Roman" w:cs="Times New Roman"/>
      <w:sz w:val="28"/>
      <w:szCs w:val="20"/>
      <w:lang w:val="en-US" w:eastAsia="en-US"/>
    </w:rPr>
  </w:style>
  <w:style w:type="character" w:styleId="908">
    <w:name w:val="Strong"/>
    <w:uiPriority w:val="22"/>
    <w:qFormat/>
    <w:rPr>
      <w:b/>
      <w:bCs/>
    </w:rPr>
  </w:style>
  <w:style w:type="paragraph" w:styleId="909" w:customStyle="1">
    <w:name w:val="Нормальный (таблица)"/>
    <w:basedOn w:val="690"/>
    <w:next w:val="690"/>
    <w:uiPriority w:val="99"/>
    <w:pPr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910" w:customStyle="1">
    <w:name w:val="Стиль1"/>
    <w:basedOn w:val="690"/>
    <w:pPr>
      <w:contextualSpacing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11" w:customStyle="1">
    <w:name w:val="Стиль2"/>
    <w:basedOn w:val="690"/>
    <w:next w:val="705"/>
    <w:pPr>
      <w:contextualSpacing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12" w:customStyle="1">
    <w:name w:val="Стиль3"/>
    <w:basedOn w:val="690"/>
    <w:pPr>
      <w:contextualSpacing/>
      <w:spacing w:before="100" w:beforeAutospacing="1" w:after="0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13" w:customStyle="1">
    <w:name w:val="Заголовок Знак"/>
    <w:link w:val="706"/>
    <w:uiPriority w:val="10"/>
    <w:rPr>
      <w:rFonts w:ascii="Calibri Light" w:hAnsi="Calibri Light" w:eastAsia="SimSun" w:cs="Times New Roman"/>
      <w:caps/>
      <w:color w:val="404040"/>
      <w:spacing w:val="-10"/>
      <w:sz w:val="72"/>
      <w:szCs w:val="72"/>
      <w:lang w:val="en-US" w:eastAsia="en-US"/>
    </w:rPr>
  </w:style>
  <w:style w:type="character" w:styleId="914" w:customStyle="1">
    <w:name w:val="Подзаголовок Знак"/>
    <w:link w:val="707"/>
    <w:uiPriority w:val="11"/>
    <w:rPr>
      <w:rFonts w:ascii="Calibri Light" w:hAnsi="Calibri Light" w:eastAsia="SimSun" w:cs="Times New Roman"/>
      <w:smallCaps/>
      <w:color w:val="595959"/>
      <w:sz w:val="28"/>
      <w:szCs w:val="28"/>
      <w:lang w:val="en-US" w:eastAsia="en-US"/>
    </w:rPr>
  </w:style>
  <w:style w:type="character" w:styleId="915">
    <w:name w:val="Emphasis"/>
    <w:uiPriority w:val="20"/>
    <w:qFormat/>
    <w:rPr>
      <w:i/>
      <w:iCs/>
    </w:rPr>
  </w:style>
  <w:style w:type="character" w:styleId="916" w:customStyle="1">
    <w:name w:val="Цитата 2 Знак"/>
    <w:link w:val="708"/>
    <w:uiPriority w:val="29"/>
    <w:rPr>
      <w:rFonts w:ascii="Calibri Light" w:hAnsi="Calibri Light" w:eastAsia="SimSun" w:cs="Times New Roman"/>
      <w:sz w:val="25"/>
      <w:szCs w:val="25"/>
      <w:lang w:val="en-US" w:eastAsia="en-US"/>
    </w:rPr>
  </w:style>
  <w:style w:type="character" w:styleId="917" w:customStyle="1">
    <w:name w:val="Выделенная цитата Знак"/>
    <w:link w:val="709"/>
    <w:uiPriority w:val="30"/>
    <w:rPr>
      <w:rFonts w:ascii="Calibri" w:hAnsi="Calibri" w:eastAsia="Times New Roman" w:cs="Times New Roman"/>
      <w:color w:val="404040"/>
      <w:sz w:val="32"/>
      <w:szCs w:val="32"/>
      <w:lang w:val="en-US" w:eastAsia="en-US"/>
    </w:rPr>
  </w:style>
  <w:style w:type="character" w:styleId="918">
    <w:name w:val="Subtle Emphasis"/>
    <w:uiPriority w:val="19"/>
    <w:qFormat/>
    <w:rPr>
      <w:i/>
      <w:iCs/>
      <w:color w:val="595959"/>
    </w:rPr>
  </w:style>
  <w:style w:type="character" w:styleId="919">
    <w:name w:val="Intense Emphasis"/>
    <w:uiPriority w:val="21"/>
    <w:qFormat/>
    <w:rPr>
      <w:b/>
      <w:bCs/>
      <w:i/>
      <w:iCs/>
    </w:rPr>
  </w:style>
  <w:style w:type="character" w:styleId="920">
    <w:name w:val="Subtle Reference"/>
    <w:uiPriority w:val="31"/>
    <w:qFormat/>
    <w:rPr>
      <w:smallCaps/>
      <w:color w:val="404040"/>
      <w:u w:val="single"/>
    </w:rPr>
  </w:style>
  <w:style w:type="character" w:styleId="921">
    <w:name w:val="Intense Reference"/>
    <w:uiPriority w:val="32"/>
    <w:qFormat/>
    <w:rPr>
      <w:b/>
      <w:bCs/>
      <w:smallCaps/>
      <w:color w:val="000000"/>
      <w:spacing w:val="3"/>
      <w:u w:val="single"/>
    </w:rPr>
  </w:style>
  <w:style w:type="character" w:styleId="922">
    <w:name w:val="Book Title"/>
    <w:uiPriority w:val="33"/>
    <w:qFormat/>
    <w:rPr>
      <w:b/>
      <w:bCs/>
      <w:smallCaps/>
      <w:spacing w:val="7"/>
    </w:rPr>
  </w:style>
  <w:style w:type="character" w:styleId="923" w:customStyle="1">
    <w:name w:val="markedcontent"/>
  </w:style>
  <w:style w:type="paragraph" w:styleId="924" w:customStyle="1">
    <w:name w:val="Default"/>
    <w:rPr>
      <w:rFonts w:ascii="Times New Roman" w:hAnsi="Times New Roman" w:eastAsia="Times New Roman"/>
      <w:color w:val="000000"/>
      <w:sz w:val="24"/>
      <w:szCs w:val="24"/>
      <w:lang w:eastAsia="ru-RU"/>
    </w:rPr>
  </w:style>
  <w:style w:type="character" w:styleId="925" w:customStyle="1">
    <w:name w:val="ConsPlusNormal Знак"/>
    <w:link w:val="887"/>
    <w:rPr>
      <w:rFonts w:ascii="Calibri" w:hAnsi="Calibri" w:eastAsia="Times New Roman" w:cs="Calibri"/>
      <w:lang w:eastAsia="ru-RU"/>
    </w:rPr>
  </w:style>
  <w:style w:type="character" w:styleId="926" w:customStyle="1">
    <w:name w:val="Без интервала Знак"/>
    <w:link w:val="705"/>
    <w:uiPriority w:val="1"/>
    <w:rPr>
      <w:rFonts w:eastAsia="Times New Roman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consultantplus://offline/ref=E390BA4A3FF2BCFD2DC07D2655978BB1A59FEC730CD7373CBB4671B285588E75D9DD0049C6FFFDB6730F6FCF39C015858D114BE093022245F21B9B8F2DC7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4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Олеся Александровна</dc:creator>
  <cp:lastModifiedBy>mahmutovark</cp:lastModifiedBy>
  <cp:revision>3</cp:revision>
  <dcterms:created xsi:type="dcterms:W3CDTF">2026-09-04T04:27:00Z</dcterms:created>
  <dcterms:modified xsi:type="dcterms:W3CDTF">2026-09-04T04:52:43Z</dcterms:modified>
  <cp:version>1048576</cp:version>
</cp:coreProperties>
</file>