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</w:t>
      </w:r>
      <w:r/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</w:t>
      </w:r>
      <w:r/>
    </w:p>
    <w:p>
      <w:pPr>
        <w:pStyle w:val="6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ГУБЕРНАТОР</w:t>
      </w:r>
      <w:r/>
    </w:p>
    <w:p>
      <w:pPr>
        <w:pStyle w:val="6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/>
    </w:p>
    <w:p>
      <w:pPr>
        <w:pStyle w:val="6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__________________                                                         № ___________</w:t>
      </w:r>
      <w:r/>
    </w:p>
    <w:p>
      <w:pPr>
        <w:pStyle w:val="6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Ханты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Мансийск</w:t>
      </w:r>
      <w:r/>
    </w:p>
    <w:p>
      <w:pPr>
        <w:pStyle w:val="68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687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установлении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 год запрета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на привлечение хозяйствующими субъектами, </w:t>
      </w:r>
      <w:r/>
    </w:p>
    <w:p>
      <w:pPr>
        <w:pStyle w:val="6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осуществляющими деятельность в Ханты-</w:t>
      </w:r>
      <w:r/>
    </w:p>
    <w:p>
      <w:pPr>
        <w:pStyle w:val="6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Мансийском автономном округе – Югре, </w:t>
      </w:r>
      <w:r/>
    </w:p>
    <w:p>
      <w:pPr>
        <w:pStyle w:val="6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иностранных граждан, осуществляющих </w:t>
      </w:r>
      <w:r/>
    </w:p>
    <w:p>
      <w:pPr>
        <w:pStyle w:val="6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трудовую деятельность на основании </w:t>
      </w:r>
      <w:r/>
    </w:p>
    <w:p>
      <w:pPr>
        <w:pStyle w:val="6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патентов, по отдельным видам экономической </w:t>
      </w:r>
      <w:r/>
    </w:p>
    <w:p>
      <w:pPr>
        <w:pStyle w:val="6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деятельности </w:t>
      </w:r>
      <w:r/>
    </w:p>
    <w:p>
      <w:pPr>
        <w:pStyle w:val="6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/>
    </w:p>
    <w:p>
      <w:pPr>
        <w:pStyle w:val="68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6 статьи 18.1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от 25 июля 2002 года № 115-ФЗ «О правовом положении иностранных граждан в Российской Федерации», постановлением Правительства Российской Федерации от 7 декабря 2015 года № 1327 «Об утверждении Правил определения срока приведения хозяйствующими субъектами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осуществляющими деятельность на территории субъекта Российской Федерации, численности используемых ими иностранных работников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в соответствии с запретом на привлечение такими хозяйствующими субъектами иностранных граждан, осуществляющих трудову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 деятельность на основании патентов, по отдельным видам экономической деятельности, установленным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учитывая распоряжение Правительства Ханты-Мансийского автономного округа – Югры от «__» _______ 2023 года №___-рп «Об одобрении установления на 2024 год запрета на привлечение хозяйствующими субъектами,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существляющими деятельность в Ханты-Мансийском автономном округе – Югре, иностранных граждан, осуществляющих трудовую деятельность на основании патентов, по отдельным видам экономической деятельности», решения Трехстронней комиссии Ханты-Мансийского автономного округа – Югры по регулированию социально-трудовых отношений (протокол заседания от 20 апреля 2023 года № 2023/2), Общественного совета при Департаменте труда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занятости населения Ханты-Мансийского автономного округа – Югры (протокол заседания от __ августа 2023 года № ___), </w:t>
      </w:r>
      <w:r>
        <w:rPr>
          <w:rFonts w:ascii="Times New Roman" w:hAnsi="Times New Roman" w:cs="Times New Roman"/>
          <w:sz w:val="28"/>
          <w:szCs w:val="28"/>
        </w:rPr>
        <w:t xml:space="preserve">п о с т а н о в л я 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</w:t>
      </w:r>
      <w:r/>
    </w:p>
    <w:p>
      <w:pPr>
        <w:pStyle w:val="688"/>
      </w:pPr>
      <w:r/>
      <w:r/>
    </w:p>
    <w:p>
      <w:pPr>
        <w:pStyle w:val="687"/>
        <w:ind w:firstLine="709"/>
        <w:jc w:val="both"/>
        <w:tabs>
          <w:tab w:val="left" w:pos="993" w:leader="none"/>
        </w:tabs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Установить на 2024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запрет на привлечение хозяйствующими субъектами, осуществляющими деятельность в Ханты-Мансийском автономном окр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уге – Югре, иностранных граждан, осуществляющих трудовую деятельность на основании патентов, по следующим видам экономической деятельности, предусмотренным Общероссийским классификатором видов экономической деятельности (ОКВЭД 2) ОК 029-2014 (КДЕС Ред. 2):</w:t>
      </w:r>
      <w:r/>
    </w:p>
    <w:p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роизводство детского питания и диетически</w:t>
      </w:r>
      <w:r>
        <w:rPr>
          <w:rFonts w:ascii="Times New Roman" w:hAnsi="Times New Roman" w:cs="Times New Roman"/>
          <w:sz w:val="28"/>
          <w:szCs w:val="28"/>
        </w:rPr>
        <w:t xml:space="preserve">х пищевых продуктов (код 10.86).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орговля розничная алкогольными напитками, включая пиво, в специализир</w:t>
      </w:r>
      <w:r>
        <w:rPr>
          <w:rFonts w:ascii="Times New Roman" w:hAnsi="Times New Roman" w:cs="Times New Roman"/>
          <w:sz w:val="28"/>
          <w:szCs w:val="28"/>
        </w:rPr>
        <w:t xml:space="preserve">ованных магазинах (код 47.25.1).</w:t>
      </w:r>
      <w:r/>
    </w:p>
    <w:p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 Т</w:t>
      </w:r>
      <w:r>
        <w:rPr>
          <w:rFonts w:ascii="Times New Roman" w:hAnsi="Times New Roman" w:cs="Times New Roman"/>
          <w:sz w:val="28"/>
          <w:szCs w:val="28"/>
        </w:rPr>
        <w:t xml:space="preserve">орговля розничная табачными изделиями в специализированных магазинах</w:t>
      </w:r>
      <w:r>
        <w:rPr>
          <w:rFonts w:ascii="Times New Roman" w:hAnsi="Times New Roman" w:cs="Times New Roman"/>
          <w:sz w:val="28"/>
          <w:szCs w:val="28"/>
        </w:rPr>
        <w:t xml:space="preserve"> (код 47.26).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</w:t>
      </w:r>
      <w:r>
        <w:rPr>
          <w:rFonts w:ascii="Times New Roman" w:hAnsi="Times New Roman" w:cs="Times New Roman"/>
          <w:sz w:val="28"/>
          <w:szCs w:val="28"/>
        </w:rPr>
        <w:t xml:space="preserve">еятельность сухопутного пассажирского транспорта: перевозки пассажиров в городском и пригородном сообщении </w:t>
      </w:r>
      <w:r>
        <w:rPr>
          <w:rFonts w:ascii="Times New Roman" w:hAnsi="Times New Roman" w:cs="Times New Roman"/>
          <w:sz w:val="28"/>
          <w:szCs w:val="28"/>
        </w:rPr>
        <w:t xml:space="preserve">(код 49.31).</w:t>
      </w:r>
      <w:r/>
    </w:p>
    <w:p>
      <w:pPr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1.5. Д</w:t>
      </w:r>
      <w:r>
        <w:rPr>
          <w:rFonts w:ascii="Times New Roman" w:hAnsi="Times New Roman" w:cs="Times New Roman"/>
          <w:sz w:val="28"/>
          <w:szCs w:val="28"/>
        </w:rPr>
        <w:t xml:space="preserve">еятельность легкового такси и арендованных легковых автомобилей с водителем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(код 49.32).</w:t>
      </w:r>
      <w:r/>
    </w:p>
    <w:p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1.6.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еятельность прочего сухопутного пассажирского транспорта, не включенная в другие группировки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(код 49.39).</w:t>
      </w:r>
      <w:r/>
    </w:p>
    <w:p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1.7.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еятельность по предоставлению продуктов питания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 напитков (код 56).</w:t>
      </w:r>
      <w:r/>
    </w:p>
    <w:p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бразов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(код 85).</w:t>
      </w:r>
      <w:r/>
    </w:p>
    <w:p>
      <w:pPr>
        <w:ind w:firstLine="709"/>
        <w:jc w:val="both"/>
        <w:tabs>
          <w:tab w:val="left" w:pos="993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ab/>
        <w:t xml:space="preserve">Направить настоящее постановление в Управление Министерства внутренних дел Российской Федерации по Ханты-Мансийскому автономному округу – Югре.  </w:t>
      </w:r>
      <w:r/>
    </w:p>
    <w:p>
      <w:pPr>
        <w:pStyle w:val="687"/>
        <w:ind w:firstLine="709"/>
        <w:jc w:val="both"/>
        <w:tabs>
          <w:tab w:val="left" w:pos="993" w:leader="none"/>
        </w:tabs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Хозяйствующи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субъектам по видам экономической деятельности, указанным в пункте 1 настоящего постановления, руководствуясь требованиями трудового законодательства Российской Федерации, привести численность используемых иностранных работников в соответствие с настоящим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до 1 января 202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  <w:r/>
    </w:p>
    <w:p>
      <w:pPr>
        <w:pStyle w:val="687"/>
        <w:ind w:firstLine="709"/>
        <w:jc w:val="both"/>
        <w:tabs>
          <w:tab w:val="left" w:pos="993" w:leader="none"/>
        </w:tabs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Настоящее постановление вступает в силу со дня его официального опубликования.</w:t>
      </w:r>
      <w:r/>
    </w:p>
    <w:p>
      <w:pPr>
        <w:pStyle w:val="68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692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  <w:r/>
    </w:p>
    <w:p>
      <w:pPr>
        <w:pStyle w:val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</w:t>
      </w:r>
      <w:r>
        <w:rPr>
          <w:rFonts w:ascii="Times New Roman" w:hAnsi="Times New Roman" w:cs="Times New Roman"/>
          <w:b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Мансийского</w:t>
      </w:r>
      <w:r/>
    </w:p>
    <w:p>
      <w:pPr>
        <w:pStyle w:val="69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автономного округа – Югры                                                        Н.В.Комарова</w:t>
      </w:r>
      <w:r/>
    </w:p>
    <w:sectPr>
      <w:headerReference w:type="default" r:id="rId8"/>
      <w:headerReference w:type="even" r:id="rId9"/>
      <w:footerReference w:type="default" r:id="rId10"/>
      <w:footerReference w:type="even" r:id="rId11"/>
      <w:footnotePr/>
      <w:endnotePr/>
      <w:type w:val="nextPage"/>
      <w:pgSz w:w="11906" w:h="16838" w:orient="portrait"/>
      <w:pgMar w:top="992" w:right="1276" w:bottom="1984" w:left="1559" w:header="1417" w:footer="1134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Verdana">
    <w:panose1 w:val="020B0604030504040204"/>
  </w:font>
  <w:font w:name="Courier New">
    <w:panose1 w:val="02070309020205020404"/>
  </w:font>
  <w:font w:name="Mangal">
    <w:panose1 w:val="020405030504060302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  <w:ind w:right="360"/>
      <w:jc w:val="right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9"/>
    <w:next w:val="67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9"/>
    <w:next w:val="67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9"/>
    <w:next w:val="67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9"/>
    <w:next w:val="67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9"/>
    <w:next w:val="67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9"/>
    <w:next w:val="67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9"/>
    <w:next w:val="67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9"/>
    <w:next w:val="67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9"/>
    <w:next w:val="67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7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9"/>
    <w:next w:val="67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80"/>
    <w:link w:val="34"/>
    <w:uiPriority w:val="10"/>
    <w:rPr>
      <w:sz w:val="48"/>
      <w:szCs w:val="48"/>
    </w:rPr>
  </w:style>
  <w:style w:type="paragraph" w:styleId="36">
    <w:name w:val="Subtitle"/>
    <w:basedOn w:val="679"/>
    <w:next w:val="67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0"/>
    <w:link w:val="36"/>
    <w:uiPriority w:val="11"/>
    <w:rPr>
      <w:sz w:val="24"/>
      <w:szCs w:val="24"/>
    </w:rPr>
  </w:style>
  <w:style w:type="paragraph" w:styleId="38">
    <w:name w:val="Quote"/>
    <w:basedOn w:val="679"/>
    <w:next w:val="67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9"/>
    <w:next w:val="67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0"/>
    <w:link w:val="699"/>
    <w:uiPriority w:val="99"/>
  </w:style>
  <w:style w:type="character" w:styleId="45">
    <w:name w:val="Footer Char"/>
    <w:basedOn w:val="680"/>
    <w:link w:val="696"/>
    <w:uiPriority w:val="99"/>
  </w:style>
  <w:style w:type="character" w:styleId="47">
    <w:name w:val="Caption Char"/>
    <w:basedOn w:val="690"/>
    <w:link w:val="696"/>
    <w:uiPriority w:val="99"/>
  </w:style>
  <w:style w:type="table" w:styleId="49">
    <w:name w:val="Table Grid Light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7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0"/>
    <w:uiPriority w:val="99"/>
    <w:unhideWhenUsed/>
    <w:rPr>
      <w:vertAlign w:val="superscript"/>
    </w:rPr>
  </w:style>
  <w:style w:type="paragraph" w:styleId="178">
    <w:name w:val="endnote text"/>
    <w:basedOn w:val="67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0"/>
    <w:uiPriority w:val="99"/>
    <w:semiHidden/>
    <w:unhideWhenUsed/>
    <w:rPr>
      <w:vertAlign w:val="superscript"/>
    </w:rPr>
  </w:style>
  <w:style w:type="paragraph" w:styleId="181">
    <w:name w:val="toc 1"/>
    <w:basedOn w:val="679"/>
    <w:next w:val="67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9"/>
    <w:next w:val="67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9"/>
    <w:next w:val="67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9"/>
    <w:next w:val="67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9"/>
    <w:next w:val="67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9"/>
    <w:next w:val="67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9"/>
    <w:next w:val="67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9"/>
    <w:next w:val="67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9"/>
    <w:next w:val="67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9"/>
    <w:next w:val="679"/>
    <w:uiPriority w:val="99"/>
    <w:unhideWhenUsed/>
    <w:pPr>
      <w:spacing w:after="0" w:afterAutospacing="0"/>
    </w:pPr>
  </w:style>
  <w:style w:type="paragraph" w:styleId="679" w:default="1">
    <w:name w:val="Normal"/>
    <w:qFormat/>
    <w:pPr>
      <w:widowControl w:val="off"/>
    </w:pPr>
    <w:rPr>
      <w:rFonts w:ascii="Arial" w:hAnsi="Arial" w:cs="Arial"/>
      <w:sz w:val="18"/>
      <w:szCs w:val="18"/>
    </w:r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>
    <w:name w:val="page number"/>
    <w:basedOn w:val="680"/>
    <w:qFormat/>
  </w:style>
  <w:style w:type="character" w:styleId="684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685" w:customStyle="1">
    <w:name w:val="Верхний колонтитул Знак"/>
    <w:uiPriority w:val="99"/>
    <w:qFormat/>
    <w:rPr>
      <w:rFonts w:ascii="Arial" w:hAnsi="Arial" w:cs="Arial"/>
      <w:sz w:val="18"/>
      <w:szCs w:val="18"/>
    </w:rPr>
  </w:style>
  <w:style w:type="character" w:styleId="686" w:customStyle="1">
    <w:name w:val="Интернет-ссылка"/>
    <w:rPr>
      <w:color w:val="0000ff"/>
      <w:u w:val="single"/>
    </w:rPr>
  </w:style>
  <w:style w:type="paragraph" w:styleId="687" w:customStyle="1">
    <w:name w:val="Заголовок1"/>
    <w:basedOn w:val="679"/>
    <w:next w:val="688"/>
    <w:qFormat/>
    <w:rPr>
      <w:b/>
      <w:bCs/>
      <w:sz w:val="22"/>
      <w:szCs w:val="22"/>
    </w:rPr>
  </w:style>
  <w:style w:type="paragraph" w:styleId="688">
    <w:name w:val="Body Text"/>
    <w:basedOn w:val="679"/>
    <w:pPr>
      <w:spacing w:after="140" w:line="276" w:lineRule="auto"/>
    </w:pPr>
  </w:style>
  <w:style w:type="paragraph" w:styleId="689">
    <w:name w:val="List"/>
    <w:basedOn w:val="688"/>
    <w:rPr>
      <w:rFonts w:cs="Mangal"/>
    </w:rPr>
  </w:style>
  <w:style w:type="paragraph" w:styleId="690">
    <w:name w:val="Caption"/>
    <w:basedOn w:val="679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691">
    <w:name w:val="index heading"/>
    <w:basedOn w:val="679"/>
    <w:qFormat/>
    <w:pPr>
      <w:suppressLineNumbers/>
    </w:pPr>
    <w:rPr>
      <w:rFonts w:cs="Mangal"/>
    </w:rPr>
  </w:style>
  <w:style w:type="paragraph" w:styleId="692" w:customStyle="1">
    <w:name w:val="Preformat"/>
    <w:qFormat/>
    <w:pPr>
      <w:widowControl w:val="off"/>
    </w:pPr>
    <w:rPr>
      <w:rFonts w:ascii="Courier New" w:hAnsi="Courier New" w:cs="Courier New"/>
      <w:sz w:val="18"/>
    </w:rPr>
  </w:style>
  <w:style w:type="paragraph" w:styleId="693" w:customStyle="1">
    <w:name w:val="Знак"/>
    <w:basedOn w:val="679"/>
    <w:qFormat/>
    <w:pPr>
      <w:spacing w:after="160" w:line="240" w:lineRule="exact"/>
      <w:widowControl/>
    </w:pPr>
    <w:rPr>
      <w:rFonts w:ascii="Verdana" w:hAnsi="Verdana" w:cs="Times New Roman"/>
      <w:sz w:val="20"/>
      <w:szCs w:val="20"/>
      <w:lang w:val="en-US" w:eastAsia="en-US"/>
    </w:rPr>
  </w:style>
  <w:style w:type="paragraph" w:styleId="694" w:customStyle="1">
    <w:name w:val="Знак Знак Знак Знак Знак Знак Знак Знак Знак Знак"/>
    <w:basedOn w:val="679"/>
    <w:qFormat/>
    <w:pPr>
      <w:spacing w:after="160" w:line="240" w:lineRule="exact"/>
      <w:widowControl/>
    </w:pPr>
    <w:rPr>
      <w:rFonts w:ascii="Verdana" w:hAnsi="Verdana" w:cs="Verdana"/>
      <w:sz w:val="20"/>
      <w:szCs w:val="20"/>
      <w:lang w:val="en-US" w:eastAsia="en-US"/>
    </w:rPr>
  </w:style>
  <w:style w:type="paragraph" w:styleId="695">
    <w:name w:val="Body Text Indent 2"/>
    <w:basedOn w:val="679"/>
    <w:qFormat/>
    <w:pPr>
      <w:ind w:firstLine="567"/>
      <w:jc w:val="both"/>
      <w:widowControl/>
    </w:pPr>
    <w:rPr>
      <w:rFonts w:ascii="Times New Roman" w:hAnsi="Times New Roman" w:cs="Times New Roman"/>
      <w:sz w:val="26"/>
      <w:szCs w:val="20"/>
    </w:rPr>
  </w:style>
  <w:style w:type="paragraph" w:styleId="696">
    <w:name w:val="Footer"/>
    <w:basedOn w:val="679"/>
    <w:pPr>
      <w:tabs>
        <w:tab w:val="center" w:pos="4677" w:leader="none"/>
        <w:tab w:val="right" w:pos="9355" w:leader="none"/>
      </w:tabs>
    </w:pPr>
  </w:style>
  <w:style w:type="paragraph" w:styleId="697">
    <w:name w:val="Balloon Text"/>
    <w:basedOn w:val="679"/>
    <w:qFormat/>
    <w:rPr>
      <w:rFonts w:ascii="Tahoma" w:hAnsi="Tahoma" w:cs="Tahoma"/>
      <w:sz w:val="16"/>
      <w:szCs w:val="16"/>
    </w:rPr>
  </w:style>
  <w:style w:type="paragraph" w:styleId="698" w:customStyle="1">
    <w:name w:val="Знак1"/>
    <w:basedOn w:val="679"/>
    <w:qFormat/>
    <w:pPr>
      <w:spacing w:after="160" w:line="240" w:lineRule="exact"/>
      <w:widowControl/>
    </w:pPr>
    <w:rPr>
      <w:rFonts w:ascii="Verdana" w:hAnsi="Verdana" w:cs="Times New Roman"/>
      <w:sz w:val="20"/>
      <w:szCs w:val="20"/>
      <w:lang w:val="en-US" w:eastAsia="en-US"/>
    </w:rPr>
  </w:style>
  <w:style w:type="paragraph" w:styleId="699">
    <w:name w:val="Header"/>
    <w:basedOn w:val="679"/>
    <w:uiPriority w:val="99"/>
    <w:pPr>
      <w:tabs>
        <w:tab w:val="center" w:pos="4677" w:leader="none"/>
        <w:tab w:val="right" w:pos="9355" w:leader="none"/>
      </w:tabs>
    </w:pPr>
  </w:style>
  <w:style w:type="paragraph" w:styleId="700" w:customStyle="1">
    <w:name w:val="ConsPlusNormal"/>
    <w:qFormat/>
    <w:pPr>
      <w:widowControl w:val="off"/>
    </w:pPr>
    <w:rPr>
      <w:rFonts w:ascii="Arial" w:hAnsi="Arial" w:cs="Arial" w:eastAsiaTheme="minorEastAsia"/>
      <w:sz w:val="18"/>
    </w:rPr>
  </w:style>
  <w:style w:type="table" w:styleId="701">
    <w:name w:val="Table Grid"/>
    <w:basedOn w:val="68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2" w:customStyle="1">
    <w:name w:val="Сетка таблицы1"/>
    <w:basedOn w:val="681"/>
    <w:uiPriority w:val="5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393C-3642-4235-9F9F-701413C5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ДТСЗН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Садриева В.В.</dc:creator>
  <dc:language>ru-RU</dc:language>
  <cp:revision>10</cp:revision>
  <dcterms:created xsi:type="dcterms:W3CDTF">2019-12-25T05:48:00Z</dcterms:created>
  <dcterms:modified xsi:type="dcterms:W3CDTF">2023-08-10T07:26:09Z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ДТСЗН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