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94" w:rsidRPr="006D1394" w:rsidRDefault="006D1394" w:rsidP="006D139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D1394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3499E24" wp14:editId="2A449482">
            <wp:extent cx="304800" cy="419100"/>
            <wp:effectExtent l="0" t="0" r="0" b="0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94" w:rsidRPr="006D1394" w:rsidRDefault="006D1394" w:rsidP="006D1394">
      <w:pPr>
        <w:spacing w:before="24" w:after="24" w:line="240" w:lineRule="auto"/>
        <w:ind w:left="15"/>
        <w:jc w:val="center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</w:pPr>
      <w:r w:rsidRPr="006D1394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t>АДМИНИСТРАЦИЯ</w:t>
      </w:r>
      <w:r w:rsidRPr="006D1394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br/>
        <w:t>ГОРОДА НИЖНЕВАРТОВСКА</w:t>
      </w:r>
      <w:r w:rsidRPr="006D1394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  <w:lang w:eastAsia="ru-RU"/>
        </w:rPr>
        <w:br/>
        <w:t>ХАНТЫ-МАНСИЙСКИЙ АВТОНОМНЫЙ ОКРУГ-ЮГРА</w:t>
      </w: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9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39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D139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tbl>
      <w:tblPr>
        <w:tblW w:w="34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6D1394" w:rsidRPr="006D1394" w:rsidTr="006D139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D1394" w:rsidRPr="006D1394" w:rsidRDefault="006D1394" w:rsidP="006D1394">
            <w:pPr>
              <w:spacing w:after="0" w:line="240" w:lineRule="auto"/>
              <w:jc w:val="both"/>
              <w:divId w:val="7831255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 06.3.2012 №278p</w:t>
            </w: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О реализации мер, направленных на обеспечение исполнения бюджета города Нижневартовска в 2011 году</w:t>
            </w:r>
          </w:p>
        </w:tc>
      </w:tr>
    </w:tbl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9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D1394" w:rsidRPr="006D1394" w:rsidTr="006D139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394" w:rsidRPr="006D1394" w:rsidRDefault="006D1394" w:rsidP="006D13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Проанализировав исполнение бюджета города за 2011 год, учитывая      постановление администрации города от 27.06.2011 №720 "О мерах, направленных на обеспечение исполнения бюджета города Нижневартовска в 2011 году":</w:t>
            </w:r>
          </w:p>
          <w:p w:rsidR="006D1394" w:rsidRPr="006D1394" w:rsidRDefault="006D1394" w:rsidP="006D13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D1394" w:rsidRPr="006D1394" w:rsidRDefault="006D1394" w:rsidP="006D13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Принять к сведению информацию о реализации мер, направленных на обеспечение исполнения бюджета города Нижневартовска в 2011 году, согласно приложению.</w:t>
            </w:r>
          </w:p>
          <w:p w:rsidR="006D1394" w:rsidRPr="006D1394" w:rsidRDefault="006D1394" w:rsidP="006D13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D1394" w:rsidRPr="006D1394" w:rsidRDefault="006D1394" w:rsidP="006D13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Признать удовлетворительной работу главных распорядителей средств бюджета города и главных администраторов доходов бюджета города                по реализации мер, направленных на обеспечение исполнения бюджета города Нижневартовска в 2011 году.</w:t>
            </w:r>
          </w:p>
        </w:tc>
      </w:tr>
    </w:tbl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D1394" w:rsidRPr="006D1394" w:rsidTr="006D1394">
        <w:trPr>
          <w:tblCellSpacing w:w="0" w:type="dxa"/>
        </w:trPr>
        <w:tc>
          <w:tcPr>
            <w:tcW w:w="3750" w:type="pct"/>
            <w:vAlign w:val="center"/>
            <w:hideMark/>
          </w:tcPr>
          <w:p w:rsidR="006D1394" w:rsidRPr="006D1394" w:rsidRDefault="006D1394" w:rsidP="006D13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администрации города</w:t>
            </w:r>
          </w:p>
        </w:tc>
        <w:tc>
          <w:tcPr>
            <w:tcW w:w="0" w:type="auto"/>
            <w:vAlign w:val="center"/>
            <w:hideMark/>
          </w:tcPr>
          <w:p w:rsidR="006D1394" w:rsidRPr="006D1394" w:rsidRDefault="006D1394" w:rsidP="006D13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D139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А.А. Бадина</w:t>
            </w:r>
          </w:p>
        </w:tc>
      </w:tr>
    </w:tbl>
    <w:p w:rsidR="00A675DF" w:rsidRDefault="00A675DF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/>
    <w:p w:rsidR="006D1394" w:rsidRDefault="006D1394">
      <w:pPr>
        <w:sectPr w:rsidR="006D1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394" w:rsidRPr="006D1394" w:rsidRDefault="006D1394" w:rsidP="006D1394">
      <w:pPr>
        <w:spacing w:after="0" w:line="240" w:lineRule="auto"/>
        <w:ind w:left="10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6D1394" w:rsidRPr="006D1394" w:rsidRDefault="006D1394" w:rsidP="006D1394">
      <w:pPr>
        <w:spacing w:after="0" w:line="240" w:lineRule="auto"/>
        <w:ind w:left="10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D1394" w:rsidRPr="006D1394" w:rsidRDefault="006D1394" w:rsidP="006D1394">
      <w:pPr>
        <w:spacing w:after="0" w:line="240" w:lineRule="auto"/>
        <w:ind w:left="10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06.03.2012 №278-р</w:t>
      </w: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13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</w:p>
    <w:p w:rsidR="006D1394" w:rsidRPr="006D1394" w:rsidRDefault="006D1394" w:rsidP="006D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13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реализации мер, направленных на обеспечение</w:t>
      </w:r>
    </w:p>
    <w:p w:rsidR="006D1394" w:rsidRPr="006D1394" w:rsidRDefault="006D1394" w:rsidP="006D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13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исполнения бюджета города Нижневартовска в 2011 году</w:t>
      </w: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870" w:type="dxa"/>
        <w:tblInd w:w="93" w:type="dxa"/>
        <w:tblLook w:val="0000" w:firstRow="0" w:lastRow="0" w:firstColumn="0" w:lastColumn="0" w:noHBand="0" w:noVBand="0"/>
      </w:tblPr>
      <w:tblGrid>
        <w:gridCol w:w="14870"/>
      </w:tblGrid>
      <w:tr w:rsidR="006D1394" w:rsidRPr="006D1394" w:rsidTr="003E6F53">
        <w:trPr>
          <w:trHeight w:val="100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0"/>
              <w:gridCol w:w="4111"/>
              <w:gridCol w:w="8121"/>
            </w:tblGrid>
            <w:tr w:rsidR="006D1394" w:rsidRPr="006D1394" w:rsidTr="003E6F53">
              <w:trPr>
                <w:trHeight w:val="1709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п/п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постановления администрации города от 27.06.2011 №720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Выполнение </w:t>
                  </w:r>
                </w:p>
              </w:tc>
            </w:tr>
            <w:tr w:rsidR="006D1394" w:rsidRPr="006D1394" w:rsidTr="003E6F53">
              <w:trPr>
                <w:trHeight w:val="499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Главным администраторам доходов бюджета города: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1394" w:rsidRPr="006D1394" w:rsidTr="003E6F53">
              <w:trPr>
                <w:trHeight w:val="265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1.1.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Принять меры по обеспечению полного и своевременного поступления доходов в бюджет города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поступление налоговых и неналоговых доходов составило 6 475 млн. руб. или 49% от общего объема доходов. План по данным доходам выполнен на 102,7%, в том числе сверхплановые поступления налоговых доходов составили 85 млн. руб., неналоговых - 82 млн. руб. По сравнению с аналогичным периодом прошлого года поступление налоговых и неналоговых доходов увеличилось на 164 млн. руб.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1.2.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Своевременно и в полном объеме представлять плательщикам информацию о реквизитах и кодах бюджетной классификации для зачисления соответствующих поступлений в бюджет города в целях сокращения, а в дальнейшем ликвидации невыясненных платежей в бюджет города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течение отчетного периода имеет место значительное снижение невыясненных платежей с 9 372 тыс. руб. на 01.04.2011 до 840,6 тыс. руб.              на 01.01.2012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1.3.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Активизировать работу по сокращению задолженности путем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проведения своевременной претензионно-исковой работы с неплательщиками и осуществления мер принудительного взыскания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lastRenderedPageBreak/>
                    <w:t>- в части муниципального имущества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в адрес контрагентов, нарушающих обязательства по внесению в бюджет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города денежных средств в соответствии с принятыми на себя договорными обязательствами, направлено 145 претензий на общую сумму 28 136,6 тыс. руб., в том числе: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претензий на общую сумму 20 975,8 тыс. руб. - арендаторам объектов муниципальной собственности;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претензий на общую сумму 651,6 тыс. руб. - рекламораспространителям, размещающим рекламные конструкции на объектах муниципальной собственности;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претензии на общую сумму 1 723,4 тыс. руб. – покупателям по договорам купли-продажи арендуемого муниципального имущества;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претензии на общую сумму 415,3 тыс. руб. – контрагентам по договорам найма жилых помещений с правом выкупа;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претензия на сумму 373,6 тыс. руб. – контрагенту по договору мены квартиры;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претензия на сумму 2,2 тыс. руб. – контрагенту по договору найма жилого помещения без права выкупа;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претензия на сумму 256,2 тыс. руб. – покупателю по договору купли-продажи жилого помещения.</w:t>
                  </w:r>
                </w:p>
                <w:p w:rsidR="006D1394" w:rsidRPr="006D1394" w:rsidRDefault="006D1394" w:rsidP="006D1394">
                  <w:pPr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юридическое управление администрации города передано 22 материала для взыскания в судебном порядке задолженности перед бюджетом города на общую сумму 19 643,8 тыс. рублей. На основании вступивших в законную силу судебных решений о погашении задолженности в бюджет города поступили денежные средства в сумме 6 604,8 тыс.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3) Подготовлены и направлены на подписание юридическим лицам в рамках судебных разбирательств по искам администрации города</w:t>
                  </w: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  <w:r w:rsidRPr="006D1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акта сверки взаимных расчетов, в том числе: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- 3 акта сверки по договорам на установку и эксплуатацию рекламных конструкций;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- 1 акт сверки с учреждением, использующим муниципальное нежилое помещение без законных оснований.</w:t>
                  </w:r>
                </w:p>
                <w:p w:rsidR="006D1394" w:rsidRPr="006D1394" w:rsidRDefault="006D1394" w:rsidP="006D139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4) Арбитражным судом Ханты-Мансийского автономного округа - Югры в пользу администрации города приняты решения о взыскании задолженности в размере 3 137,9 тыс. руб. по арендной плате, пени и процентам за пользование чужими денежными средствами в отношении 9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должников.</w:t>
                  </w:r>
                </w:p>
                <w:p w:rsidR="006D1394" w:rsidRPr="006D1394" w:rsidRDefault="006D1394" w:rsidP="006D1394">
                  <w:pPr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Проведено 11 заседаний комиссии по проверке своевременности внесения арендной платы за использование муниципального имущества. На заседания были приглашены 76 контрагентов по договорам аренды нежилых помещений и по договорам на установку и эксплуатацию рекламных конструкций, допустивших задолженность перед городским бюджетом на общую сумму 9 403,9 тыс. руб.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комиссию должниками были представлены платежные документы об оплате суммы долга в размере 3 585,2 тыс. рублей, что составляет 38,1% от общей суммы задолженности. Погашение остальной части задолженности поставлено комиссией на контроль.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6) В рамках осуществления проверок соблюдения контрагентами условий договоров коммерческого найма жилых помещений с правом выкупа, мены, купли-продажи жилых помещений и долей в них по 92 договорам составлены и переданы гражданам справки о состоянии лицевых счетов и выполнении денежных обязательств. По 99 договорам с контрагентами составлены акты сверки платежей.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7) Подготовлены 775 уведомлений об уточнении вида и принадлежности поступивших в бюджет города платежей на сумму 36 065,2 тыс. руб.;</w:t>
                  </w:r>
                </w:p>
                <w:p w:rsidR="006D1394" w:rsidRPr="006D1394" w:rsidRDefault="006D1394" w:rsidP="006D1394">
                  <w:pPr>
                    <w:tabs>
                      <w:tab w:val="left" w:pos="-166"/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части земельных участков за 2011 год, в целях ликвидации кредиторской задолженности по доходам от аренды земельных участков, приняты следующие меры: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направлены 514 уведомлений арендаторам-должникам с требованиями          о погашении задолженности на сумму 118 579 тыс. руб. (в том числе                в местный бюджет 94 863 тыс. рублей), в результате оплачено – 35 768 тыс. руб. (в том числе в местный бюджет 28 614 тыс. руб.);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проведены 26 заседаний комиссии по контролю за своевременностью внесения арендной платы за земельные участки с приглашением 276 арендаторов-должников, общая сумма задолженности которых составила 128 759 тыс. руб. (в том числе в местный бюджет 103 007 тыс. руб.), в результате оплачено 49 198 тыс. руб. (в местный бюджет 39 358 тыс. руб.);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юридическое управление администрации города для взыскания с арендаторов задолженности в судебном порядке переданы 96 дел на общую сумму 72 068 тыс. руб. (в том числе в местный бюджет 57 654 тыс. руб.);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в части налоговых доходов сотрудниками юридического управления администрации города оказана юридическая помощь налоговой инспекции в подготовке документов для взыскания задолженности через суд. За период с 10.05.2011 по 23.05.2011 подготовлено 751 заявление на выдачу судебных приказов на сумму 3 557 тыс. руб.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1.4.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Принимать меры, направленные на эффективное управление и распоряжение в сфере имущественных и земельных отношений на территории города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назначены 30 аукционов в отношении 36 лотов на право заключения договоров аренды муниципальных нежилых помещений, из них состоялось 9 аукционов по 15 лотам.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победителями состоявшихся аукционов заключены 16 договоров аренды муниципального имущества сроком действия на 5 лет на сумму арендной платы 17 381,9 тыс. руб., что на 519,1 тыс. руб. больше начальной цены (начального размера годовой арендной платы).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результатам организации несостоявшихся аукционов с единственными участниками заключены 12 договоров аренды муниципального имущества по начальной цене торгов на общую сумму 13 452,8 тыс.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Заключены 17 договоров купли-продажи муниципальной доли в праве общей долевой собственности на жилое помещение на общую сумму 5 587,7 тыс. руб. и 14 договоров найма жилого помещения муниципального жилого фонда коммерческого использования на сумму 400,2 тыс. руб.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1.5.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Продолжить работу по формированию и включению в государственный кадастр недвижимости земельных участков под многоквартирными домами в целях привлечения налогоплательщиков – собственников нежилых помещений, находящихся в многоквартирных домах, к уплате земельного налога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рамках проведенной работы по формированию земельных участков, на которых расположены многоквартирные дома в соответствии с муниципальными контрактами 2010-2011 годов, осуществлен государственный кадастровый учет 123 земельных участков, на которых расположен 201 многоквартирный дом. За период с января по декабрь 2011 года в адрес налогоплательщиков, имеющих в собственности нежилые помещения, расположенные в многоквартирных (многоэтажных) домах, МРИ ФНС России №6 по ХМАО - Югре направлено 161 уведомление юридическим лицам, индивидуальным предпринимателям – 78 о необходимости предоставления деклараций по земельному налогу. На направленные уведомления получены пояснения от 42 налогоплательщиков. В итоге, представлены 24 декларации. Общая сумма земельного налога к уплате составила 245 тыс.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1.6.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целях повышения уровня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администрирования доходов при исполнении бюджета города представлять ежеквартально в департамент финансов администрации города аналитические материалы и пояснительную записку об исполнении плановых назначений и информацию о проведенных мероприятиях по увеличению доходов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информация представляется своевременно.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увеличению доходов городского бюджета проведены следующие мероприятия: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1) между администрацией города и ОАО "ТНК-ВР Менеджмент" заключено соглашение о сотрудничестве на сумму 68,2 млн. руб. Кроме того, 50 предприятий города подписали аналогичные соглашения о сотрудничестве в рамках реализации социально значимых проектов для населения города.          В бюджет города поступило 31 973 тыс. руб.;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2) еженедельно проводится работа по выявлению лиц, осуществлявших незарегистрированную предпринимательскую деятельность. В результате совместной работы </w:t>
                  </w: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Управления Министерства внутренних дел Российской Федерации по городу Нижневартовску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департамента жилищно-коммунального хозяйства администрации города, казенного учреждения ХМАО - Югры "Нижневартовский Центр занятости населения", управления социальной защиты населения по г. Нижневартовску и Нижневартовскому району Департамента социального развития ХМАО - Югры по состоянию на 28.12.2011 выявлено 428 человек, за декабрь 2011 года - 26 человек.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Списки таких лиц переданы в МРИ ФНС России №6 по ХМАО - Югре для оформления налоговых деклараций, а также в казенное учреждение ХМАО - Югры "Нижневартовский Центр занятости населения" и управление социальной защиты населения по г. Нижневартовску и Нижневартовскому району Департамента социального развития ХМАО - Югры для сверки со списками получателей пособий. Всем гражданам, осуществлявшим незарегистрированную предпринимательскую деятельность, направлены уведомления о необходимости представления налоговой отчетности по уплате налогов с полученных доходов. С начала года представлены 79 деклараций о доходах от сдачи имущества в аренду, сумма налога составила 895,5 тыс. руб.;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3) выявлены: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24 объекта недвижимости, ранее не состоявших на учете в инспекции. В результате чего собственникам начислен налог на имущество физических лиц в сумме 48 тыс. руб.;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37 земельных участков, принадлежащих физическим лицам, которым не был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числен земельный налог за 2008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–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2010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годы. Сведения о выявленных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lastRenderedPageBreak/>
                    <w:t>участках были получены из ответов Нижневартовского отдела Управления Росреестра по Ханты-Мансийскому автономному округу –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Югре. В результате этого налогоплательщикам был начислен земельный налог в сумме 63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тыс.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руб.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в течение 2011 года выявлено 40 транспортных средств, принадлежащих налогоплательщикам - физическим лицам, которым не был исчислен налог за период с 2008 по 2010 год. В результате проделанной работы начислен транспортный налог в сумме 281 тыс. руб.;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з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а 2011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год сотрудниками жилищно-эксплуатационных участков проведены 249 обследований квартир, выявлены 249 физических лиц, получающих доходы от сдачи имущества (квартир, комнат) в аренду и от регистрации на своей жилплощади физических лиц.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Вышеуказанным гражданам были направлены уведомления о необходимости представления декларации о доходах за 2008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-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2010 годы. В ответ были представлены 7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деклараци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й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о доходах от сдачи имущества в аренду и регистрации на своей территории. Сумма налога на доходы к уплате составила – 8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95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,5 тыс. руб.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От продажи имущества (квартир, транспорта, иного имущества) в 2008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-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2010 годах дополнительно привлечен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к декларированию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457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физических лиц, сумма налога на доходы этих физических лиц к доплате составила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1 124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тыс. руб.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информация о владельцах транспортных средств (112 налогоплательщиков), предоставляющих услуги городского транспорта, направлена в МРИ ФНС России №6 по ХМАО - Югре для проведения контрольной работы (сопоставление данной информации и сведений, представленных в декларациях по единому налогу на вмененный доход для отдельных видов деятельности). Налогоплательщикам направлены 57 сообщений с требованием о представлении пояснений о расхождениях по количеству объектов налогообложения;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7) в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отчетном периоде подготовлен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и заключен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договоров купли-продажи арендуемого муниципального имущества на общую сумму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42 239,6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тыс. руб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в рамках реализации преимущественного права на выкуп, предусмотренного федеральным законодательством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8)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роведено 401 выездное обследование, в ходе которых выявлено 89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фактов самовольного занятия земельных участков. В результате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предъявлены 105 претензий о возмещении стоимости неосновательного обогащения в связи с использованием земельных участков без правоустанавливающих и правоудостоверяющих документов на сумму 19 457 тыс. руб. (в том числе в местный бюджет 15 566 тыс. руб.), из них оплачено 6 684 тыс. руб. (в том числе в местный бюджет 5 347 тыс. руб.);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9) завершены работы по обследованию 98 гаражно-строительных кооперативов, в результате выявлено 5 фактов использования земельных участков без оформленных в установленном порядке правоустанавливающих документов на землю. Сводная информация направлена для исполнения и принятия решений в адрес служб, участвовавших в проведении мероприятий  по инвентаризации;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10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рамках рекомендаций заседания комиссии по мобилизации доходов        от 20.05.2010, в МРИ ФНС России №6 по ХМАО - Югре передан перечень юридических и физических лиц, арендовавших у бюджетных учреждений          и управляющих компаний помещения для проведения выставок, семинаров и др. мероприятий за 2010 год. В ходе проведения анализа представленной информации выявлены: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- 4 налогоплательщика, не состоящих на учете в МРИ ФНС России №6          по ХМАО - Югре;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- 4 налогоплательщика не зарегистрированы в качестве индивидуальных предпринимателей</w:t>
                  </w:r>
                  <w:r w:rsidRPr="006D139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Главным распорядителям средств бюджета города: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2.1.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Обеспечить: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ind w:hanging="1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- исполнение бюджета города с учетом основных направлений налоговой и бюджетной политики города Нижневартовска на 2011 год и на плановый период 2012 и 2013 годов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в отчетном финансовом году бюджет города исполнен по доходам в сумме 13 312 млн. руб. или на 101% от плана (13 156 млн. руб.), по расходам        13 566 млн. руб. или на 96% от плановых назначений (14 146 млн. руб.). На конец 2011 года сложился дефицит бюджета в сумме 254 млн.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Расходная часть бюджета города в 2011 году, как и в предыдущем году, сохранила свою социальную направленность.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 отрасли социально-культурной сферы направлено 8 479 млн. руб. или 63% от общего объема расходов.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Расходы, направленные на финансирование отраслей производственной сферы, составили 3 274 млн. руб. или 24% от общего объема расходов бюджета города.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По прочим расходам исполнение составило 1 813 млн. руб. или 13% (общегосударственные расходы, правоохранительная деятельность, обслуживание муниципального долга).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предоставление бюджетных инвестиций в объекты муниципальной собственности направлено 1 637 млн.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реализацию городских программ исполнены в сумме 610 млн. руб. или 89% к уточненному плану на год, региональных программ – 1 723 млн. руб. или 84% к уточненному плану на год, ведомственных программ – 1 924 млн. руб. или 99% к уточненному плану на год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в пределах доведенных лимитов бюджетных обязательств безусловное исполнение бюджетных обязательств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исполнение бюджетных обязательств бюджета города осуществляется в пределах доведенных лимитов бюджетных обязательств. В пределах доведенных лимитов бюджетных обязательств обеспечивается исполнение бюджетных обязательств по социально значимым и первоочередным направлениям расходов бюджета города.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приоритетном порядке финансировались социально значимые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расходы (оплата труда и начисления на выплаты по оплате труда, коммунальные услуги, социальное обеспечение, продукты питания, приобретение медикаментов, прочие материальные расходы), исполнение по которым составило 61% от общего объема расходов, или 8 113 </w:t>
                  </w: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млн.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руб., из них: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- 6 758 млн.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руб. направлено на оплату труда и начисления на выплаты по оплате труда, что составляет 50% от общего объема расходов;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- 375 млн.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руб. или 3% - на оплату коммунальных услуг;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- 675 млн.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руб. или 5% - на социальное обеспечение.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Первоочередные расходы исполнены в сумме 325 млн. руб. или 2% от общего объема расходов из них: 214 млн. руб. или 2% - прочие выплаты (оплата проезда к месту проведения отпуска и обратно; фонд оздоровления, командировочные расходы - суточные; единовременная выплата на оздоровление; компенсация за наем жилых помещений в общежитии; подъемное пособие молодым специалистам; единовременная помощь на погребение; компенсационные выплаты за книгоиздательскую продукцию).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Остальные расходы – 5 128 млн. руб. или 37% от общего объема расходов, в том числе: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- 1 983 млн. руб. или 15% - увеличение стоимости основных средств (капитальные вложения, приобретение оборудования);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- 1 107 млн. руб. или 8% - работы, услуги по содержанию имущества;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- 672 млн. руб. или 5% - прочие работы, услуги (подписка на периодические издания; утилизация отходов; оплата услуг охраны; стоянка автомобилей; сопровождение программных продуктов, лицензионные платежи за программы; оплата договоров ОСАГО; установка и монтаж систем охранной и пожарной сигнализации, видеонаблюдения; найм жилых помещений при служебных командировках; проектно-изыскательские работы);</w:t>
                  </w:r>
                </w:p>
                <w:p w:rsidR="006D1394" w:rsidRPr="006D1394" w:rsidRDefault="006D1394" w:rsidP="006D1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- 1 324 млн. руб. или 9% - безвозмездные перечисления государственным и муниципальным организациям;</w:t>
                  </w:r>
                </w:p>
                <w:p w:rsidR="006D1394" w:rsidRPr="006D1394" w:rsidRDefault="006D1394" w:rsidP="006D1394">
                  <w:pPr>
                    <w:widowControl w:val="0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- 42 млн. руб. - прочие расходы (транспортный налог, оплата госпошлин, налогов, штрафов, пеней; прием и обслуживание делегаций)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контроль за соблюдением руководителями муниципальных учреждений установленного размера минимальной заработной платы в автономном округе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в целях недопущения выплаты заработной платы в размере ниже минимального размера оплаты труда, установленного в рамках трехстороннего соглашения по размеру минимальной заработной платы в автономном округе, руководители муниципальных учреждений города производят ежемесячные доплаты работникам, размер заработной платы которых, при условии полного выполнения работником нормы труда и отработки месячной нормы рабочего времени, не достигает установленного минимального размера оплаты труда.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течение 2011 года произведена доплата 493 работникам, размер заработной платы которых, при условии полного выполнения работником нормы труда и отработки месячной нормы рабочего времени, не достигает установленного минимального размера оплаты труда. Общая сумма доплат составила 8 747 тыс.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руб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контроль за использованием средств, выделяемых на реализацию наказов избирателей депутатам Думы автономного округа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проводится ежеквартальный мониторинг за целевым использованием средств, выделяемых на реализацию наказов избирателей депутатам Думы автономного округа.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Средства, выделяемые на реализацию наказов избирателей депутатам Думы автономного округа исполнены в сумме 39 млн. руб., что составляет 72% к плановым назначениям года – 54 млн.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Средства направлены на приобретение оборудования, мебели, компьютерной техники, укрепление материально-технической базы учреждений, проведение ремонтных работ, замену оконных блоков,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проведение текущего ремонта учреждений, приобретение строительных материалов, приобретение мебели для клинико-диагностической лаборатории, медицинской аппаратуры, строительство спортивной трассы, участие в конкурсах и соревнованиях</w:t>
                  </w:r>
                </w:p>
              </w:tc>
            </w:tr>
            <w:tr w:rsidR="006D1394" w:rsidRPr="006D1394" w:rsidTr="003E6F53">
              <w:trPr>
                <w:trHeight w:val="1128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жесткий режим экономного и рационального использования бюджетных средств, направляемых на оказание социально значимых муниципальных услуг, включая установление для муниципальных учреждений нормативов потребления топливно-энергетических и других материальных ресурсов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соответствии с распоряжением администрации города от 07.04.2010 №402-р "Об утверждении Плана мероприятий муниципального образования город Нижневартовск по реализации 13 Федерального закона от 23.11.2009 №261-ФЗ "Об энергосбережении и повышении энергетической эффективности и о внесении изменений в отдельные законодательные акты Российской Федерации" утвержден план мероприятий муниципального образования   город Нижневартовск "Об энергосбережении и повышении энергетической эффективности" где одним из важнейших мероприятий для главных распорядителей бюджетных средств, руководителей бюджетных учреждений          и муниципальных предприятий является обеспечение снижения объема     потребленных энергетических ресурсов в течение 5 лет не менее чем на 15% от объема фактически потребленных в 2009 году, с ежегодным снижением такого объема не менее чем 3%.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Департаментом жилищно-коммунального хозяйства администрации города совместно с предприятиями, предоставляющими услуги жилищно-коммунального хозяйства при формировании тарифов проводится оптимизация затрат, разрабатываются мероприятия по улучшению результатов финансово-экономической деятельности и эффективности производства. При формировании тарифов на жилищные услуги на 2011 год проведены следующие мероприятия по оптимизации затрат: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уменьшение численности;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уточнение перечня выполняемых работ и услуг по содержанию и обслуживанию жилищного фонда;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увеличение уровня платежей граждан за жилищные услуги по бесхозяйному жилищному фонду.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Проведенные мероприятия дали возможность установить в 2011 году размер платы за жилищные и коммунальные услуги ниже индексов, установленных округом, примерно на 1%, что позволило уменьшить выделение бюджетных средств по статьям "Содержание и ремонт ветхого жилищного фонда, жилищного фонда с неблагоприятными экологическими характеристиками",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"Содержание и ремонт бесхозяйного жилищного фонда"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формирование в установленном порядке муниципальных заданий и их выполнение подведомственными муниципальными учреждениями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для формирования муниципальных заданий и их выполнения принято постановление администрации города от 12.05.2011 №493 "Об утверждении Положения о порядке формирования муниципального задания в отношении муниципальных учреждений города Нижневартовска и финансового обеспечения выполнения муниципального задания и о признании утратившими силу некоторых постановлений Главы и администрации города". В соответствии с данным постановлением на 2011 год в отношении всех бюджетных и автономных учреждений города Нижневартовска утверждены муниципальные задания</w:t>
                  </w:r>
                </w:p>
              </w:tc>
            </w:tr>
            <w:tr w:rsidR="006D1394" w:rsidRPr="006D1394" w:rsidTr="003E6F53">
              <w:trPr>
                <w:trHeight w:val="698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2.2.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допускать: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необоснованного увеличения количества принимаемых расходных обязательств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необоснованное увеличение количества принимаемых расходных обязательств не допускается</w:t>
                  </w:r>
                </w:p>
              </w:tc>
            </w:tr>
            <w:tr w:rsidR="006D1394" w:rsidRPr="006D1394" w:rsidTr="003E6F53">
              <w:trPr>
                <w:trHeight w:val="1700"/>
              </w:trPr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образования просроченной кредиторской задолженности муниципальных учреждений в первую очередь </w:t>
                  </w:r>
                  <w:bookmarkStart w:id="0" w:name="OLE_LINK1"/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выплате заработной платы и начислениям на выплаты по оплате труда</w:t>
                  </w:r>
                  <w:bookmarkEnd w:id="0"/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оплате коммунальных услуг, а также по другим социально значимым и первоочередным расходам бюджета города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по данным бюджетной отчетности за 2011 год просроченная кредиторская задолженность отсутствует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нецелевого использования субсидий, субвенций и иных межбюджетных трансфертов, полученных из бюджетов других уровней и имеющих целевое назначение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расходы, осуществляемые за счет соответствующей субвенции, субсидии и иных межбюджетных трансфертов, производятся строго с целевым назначением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увеличения штатной численности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работников муниципальных учреждений, за исключением случаев принятия решения о передаче муниципальному образованию дополнительных отдельных полномочий Российской Федерации и Ханты-Мансийского автономного округа - Югры и ввода новых объектов капитального строительства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lastRenderedPageBreak/>
                    <w:t xml:space="preserve">-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течение года дополнительно введено 228,69 шт.ед., в том числе: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lastRenderedPageBreak/>
                    <w:t>- органы местного самоуправления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– 25,0 шт.ед., в том числе 5,0 шт.ед. по осуществлению переданных полномочий по опеке и попечительству;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 xml:space="preserve">- 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муниципальное бюджетное учреждение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 xml:space="preserve"> "Нижневартовская служба спасения"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>-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1,0 шт.ед.;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>- учреждения департамента образования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администрации города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– 188,69 шт.ед., в том числе </w:t>
                  </w:r>
                  <w:r w:rsidRPr="006D13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ar-SA"/>
                    </w:rPr>
                    <w:t>181,02 шт.ед., финансовое обеспечение которых полностью или частично осуществляется за счет средств субвенций из регионального фонда компенсаций бюджета автономного округа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>-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ar-SA"/>
                    </w:rPr>
                    <w:t>учреждения управления культуры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администрации города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 xml:space="preserve"> – 3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шт.ед. В целях повышения качества муниципальных услуг, оказываемых населению города Нижневартовска, в области культуры и искусства введено: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муниципальное бюджетное учреждение "Дворец культуры "Октябрь" -      2 шт.ед. (с 01.04.2011);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муниципальное бюджетное учреждение "Дворец искусств" - 1 шт.ед.        (с 01.05.2011).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учреждения департамента здравоохранения администрации города –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17,5 шт.ед. В связи с открытием нового муниципального автономного дошкольного образовательного учреждения города Нижневартовска – центра развития ребенка детского сада №44 "Золотой ключик" и в целях обеспечения его медицинскими работниками с 01.09.2011 в штатное расписание муниципального бюджетного учреждений "Детская городская поликлиника" введено 3 шт.ед.; переведено 14,5 шт.ед. медицинских работников из учреждений физической культуры и спорта в муниципальное учреждение "Врачебно-физкультурный диспансер".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</w:t>
                  </w:r>
                  <w:r w:rsidRPr="006D139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учреждения управления физической культуры и спорта администрации города – сокращено 6,5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шт.ед.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2.3.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Провести мероприятия по оптимизации бюджетных расходов, включающие в себя инвентаризацию действующих расходных обязательств, отказ от нерациональных расходов и принятия новых расходных обязательств, инвентаризацию сети </w:t>
                  </w: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бюджетных учреждений и численности подведомственных учреждений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для более эффективного и результативного использования кадровых и бюджетных ресурсов в системе здравоохранения с 01.02.2011 был осуществлен перевод автотранспортной службы муниципального учреждения "Городская больница №1" в муниципальное учреждение "Городская поликлиника" и проведена оптимизация численности персонала путем исключения дублирующих должностей и их перепрофилирования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2.4.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ind w:firstLine="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Проводить анализ дебиторской и кредиторской задолженностей и принимать меры по их сокращению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мониторинг дебиторской и кредиторской задолженности проводится ежемесячно. Просроченная кредиторская задолженность отсутствует </w:t>
                  </w:r>
                </w:p>
              </w:tc>
            </w:tr>
            <w:tr w:rsidR="006D1394" w:rsidRPr="006D1394" w:rsidTr="003E6F53">
              <w:tc>
                <w:tcPr>
                  <w:tcW w:w="2170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2.5.</w:t>
                  </w:r>
                </w:p>
              </w:tc>
              <w:tc>
                <w:tcPr>
                  <w:tcW w:w="4111" w:type="dxa"/>
                </w:tcPr>
                <w:p w:rsidR="006D1394" w:rsidRPr="006D1394" w:rsidRDefault="006D1394" w:rsidP="006D1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Представлять в департамент финансов администрации города в срок до 12 числа месяца, следующего за отчетным кварталом, сведения об экономии лимитов бюджетных обязательств, сложившихся по итогам размещения заказов на поставки товаров, выполнение работ, оказание услуг для муниципальных нужд и предложения по их дальнейшему направлению; сведения о дебиторской и кредиторской задолженности, в том числе просроченной; информацию об исполнении настоящего постановления за полугодие, 9 месяцев, год</w:t>
                  </w:r>
                </w:p>
              </w:tc>
              <w:tc>
                <w:tcPr>
                  <w:tcW w:w="8121" w:type="dxa"/>
                </w:tcPr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 главные распорядители средств бюджета города своевременно представили сведения и информацию о выполнении настоящего постановления за 2011 год. 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ходе исполнения бюджета города за отчетный финансовый год сумма экономии, сложившаяся по итогам размещения заказов на поставку товаров, выполнение работ, оказание услуг для муниципальных нужд, составила    34,1 млн. руб.</w:t>
                  </w:r>
                </w:p>
                <w:p w:rsidR="006D1394" w:rsidRPr="006D1394" w:rsidRDefault="006D1394" w:rsidP="006D139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D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Сведения по дебиторской и кредиторской задолженностей, в том числе просроченной, представляются в сроки, установленные для представления месячной и квартальной бюджетной отчетности в 2011 году</w:t>
                  </w:r>
                </w:p>
              </w:tc>
            </w:tr>
          </w:tbl>
          <w:p w:rsidR="006D1394" w:rsidRPr="006D1394" w:rsidRDefault="006D1394" w:rsidP="006D13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394" w:rsidRPr="006D1394" w:rsidTr="003E6F53">
        <w:trPr>
          <w:trHeight w:val="28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394" w:rsidRPr="006D1394" w:rsidRDefault="006D1394" w:rsidP="006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Pr="006D1394" w:rsidRDefault="006D1394" w:rsidP="006D1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394" w:rsidRDefault="006D1394">
      <w:bookmarkStart w:id="1" w:name="_GoBack"/>
      <w:bookmarkEnd w:id="1"/>
    </w:p>
    <w:sectPr w:rsidR="006D1394" w:rsidSect="005C2943">
      <w:headerReference w:type="even" r:id="rId7"/>
      <w:headerReference w:type="default" r:id="rId8"/>
      <w:footnotePr>
        <w:pos w:val="beneathText"/>
      </w:footnotePr>
      <w:pgSz w:w="16837" w:h="11905" w:orient="landscape" w:code="9"/>
      <w:pgMar w:top="1134" w:right="567" w:bottom="1134" w:left="1701" w:header="709" w:footer="709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4" w:rsidRDefault="006D1394" w:rsidP="00FC72C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05DA4" w:rsidRDefault="006D139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4" w:rsidRPr="00103D83" w:rsidRDefault="006D1394" w:rsidP="00FC72C4">
    <w:pPr>
      <w:pStyle w:val="ad"/>
      <w:framePr w:wrap="around" w:vAnchor="text" w:hAnchor="margin" w:xAlign="center" w:y="1"/>
      <w:rPr>
        <w:rStyle w:val="af1"/>
        <w:sz w:val="24"/>
        <w:szCs w:val="24"/>
      </w:rPr>
    </w:pPr>
    <w:r w:rsidRPr="00103D83">
      <w:rPr>
        <w:rStyle w:val="af1"/>
        <w:sz w:val="24"/>
        <w:szCs w:val="24"/>
      </w:rPr>
      <w:fldChar w:fldCharType="begin"/>
    </w:r>
    <w:r w:rsidRPr="00103D83">
      <w:rPr>
        <w:rStyle w:val="af1"/>
        <w:sz w:val="24"/>
        <w:szCs w:val="24"/>
      </w:rPr>
      <w:instrText xml:space="preserve">PAGE  </w:instrText>
    </w:r>
    <w:r w:rsidRPr="00103D83">
      <w:rPr>
        <w:rStyle w:val="af1"/>
        <w:sz w:val="24"/>
        <w:szCs w:val="24"/>
      </w:rPr>
      <w:fldChar w:fldCharType="separate"/>
    </w:r>
    <w:r>
      <w:rPr>
        <w:rStyle w:val="af1"/>
        <w:noProof/>
        <w:sz w:val="24"/>
        <w:szCs w:val="24"/>
      </w:rPr>
      <w:t>14</w:t>
    </w:r>
    <w:r w:rsidRPr="00103D83">
      <w:rPr>
        <w:rStyle w:val="af1"/>
        <w:sz w:val="24"/>
        <w:szCs w:val="24"/>
      </w:rPr>
      <w:fldChar w:fldCharType="end"/>
    </w:r>
  </w:p>
  <w:p w:rsidR="00A05DA4" w:rsidRDefault="006D13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8A"/>
    <w:multiLevelType w:val="hybridMultilevel"/>
    <w:tmpl w:val="ACB067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EE7C21"/>
    <w:multiLevelType w:val="hybridMultilevel"/>
    <w:tmpl w:val="8E3A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719"/>
    <w:multiLevelType w:val="hybridMultilevel"/>
    <w:tmpl w:val="77A2EFFE"/>
    <w:lvl w:ilvl="0" w:tplc="4A72712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F302AD0"/>
    <w:multiLevelType w:val="hybridMultilevel"/>
    <w:tmpl w:val="5F605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8"/>
    <w:rsid w:val="006D1394"/>
    <w:rsid w:val="00A675DF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94"/>
    <w:pPr>
      <w:keepNext/>
      <w:numPr>
        <w:numId w:val="1"/>
      </w:num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139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39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13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6D1394"/>
  </w:style>
  <w:style w:type="character" w:customStyle="1" w:styleId="12">
    <w:name w:val="Основной шрифт абзаца1"/>
    <w:rsid w:val="006D1394"/>
  </w:style>
  <w:style w:type="character" w:customStyle="1" w:styleId="a5">
    <w:name w:val="Символ нумерации"/>
    <w:rsid w:val="006D1394"/>
  </w:style>
  <w:style w:type="paragraph" w:customStyle="1" w:styleId="a6">
    <w:name w:val="Заголовок"/>
    <w:basedOn w:val="a"/>
    <w:next w:val="a7"/>
    <w:rsid w:val="006D139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6D13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List"/>
    <w:basedOn w:val="a7"/>
    <w:rsid w:val="006D1394"/>
    <w:rPr>
      <w:rFonts w:cs="Tahoma"/>
    </w:rPr>
  </w:style>
  <w:style w:type="paragraph" w:customStyle="1" w:styleId="13">
    <w:name w:val="Название1"/>
    <w:basedOn w:val="a"/>
    <w:rsid w:val="006D1394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D1394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D13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rsid w:val="006D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D1394"/>
    <w:rPr>
      <w:color w:val="0000FF"/>
      <w:u w:val="single"/>
    </w:rPr>
  </w:style>
  <w:style w:type="character" w:styleId="ac">
    <w:name w:val="FollowedHyperlink"/>
    <w:uiPriority w:val="99"/>
    <w:unhideWhenUsed/>
    <w:rsid w:val="006D1394"/>
    <w:rPr>
      <w:color w:val="800080"/>
      <w:u w:val="single"/>
    </w:rPr>
  </w:style>
  <w:style w:type="paragraph" w:customStyle="1" w:styleId="font5">
    <w:name w:val="font5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13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13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D13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D13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D139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D13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D13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D13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D139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13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D13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D13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D139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6D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6D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1">
    <w:name w:val="page number"/>
    <w:basedOn w:val="a0"/>
    <w:rsid w:val="006D1394"/>
  </w:style>
  <w:style w:type="paragraph" w:styleId="af2">
    <w:name w:val="Body Text Indent"/>
    <w:basedOn w:val="a"/>
    <w:link w:val="af3"/>
    <w:rsid w:val="006D13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6D1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D139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94"/>
    <w:pPr>
      <w:keepNext/>
      <w:numPr>
        <w:numId w:val="1"/>
      </w:num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139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39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13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6D1394"/>
  </w:style>
  <w:style w:type="character" w:customStyle="1" w:styleId="12">
    <w:name w:val="Основной шрифт абзаца1"/>
    <w:rsid w:val="006D1394"/>
  </w:style>
  <w:style w:type="character" w:customStyle="1" w:styleId="a5">
    <w:name w:val="Символ нумерации"/>
    <w:rsid w:val="006D1394"/>
  </w:style>
  <w:style w:type="paragraph" w:customStyle="1" w:styleId="a6">
    <w:name w:val="Заголовок"/>
    <w:basedOn w:val="a"/>
    <w:next w:val="a7"/>
    <w:rsid w:val="006D139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6D13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List"/>
    <w:basedOn w:val="a7"/>
    <w:rsid w:val="006D1394"/>
    <w:rPr>
      <w:rFonts w:cs="Tahoma"/>
    </w:rPr>
  </w:style>
  <w:style w:type="paragraph" w:customStyle="1" w:styleId="13">
    <w:name w:val="Название1"/>
    <w:basedOn w:val="a"/>
    <w:rsid w:val="006D1394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D1394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D13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rsid w:val="006D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D1394"/>
    <w:rPr>
      <w:color w:val="0000FF"/>
      <w:u w:val="single"/>
    </w:rPr>
  </w:style>
  <w:style w:type="character" w:styleId="ac">
    <w:name w:val="FollowedHyperlink"/>
    <w:uiPriority w:val="99"/>
    <w:unhideWhenUsed/>
    <w:rsid w:val="006D1394"/>
    <w:rPr>
      <w:color w:val="800080"/>
      <w:u w:val="single"/>
    </w:rPr>
  </w:style>
  <w:style w:type="paragraph" w:customStyle="1" w:styleId="font5">
    <w:name w:val="font5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13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13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D13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D13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D139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D13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D13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D13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D139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D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13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13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D13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D13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D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D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D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D1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D1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D139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6D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6D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1">
    <w:name w:val="page number"/>
    <w:basedOn w:val="a0"/>
    <w:rsid w:val="006D1394"/>
  </w:style>
  <w:style w:type="paragraph" w:styleId="af2">
    <w:name w:val="Body Text Indent"/>
    <w:basedOn w:val="a"/>
    <w:link w:val="af3"/>
    <w:rsid w:val="006D13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6D13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6D1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D139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4113</Words>
  <Characters>23448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2015-03-20T07:17:00Z</dcterms:created>
  <dcterms:modified xsi:type="dcterms:W3CDTF">2015-03-20T07:18:00Z</dcterms:modified>
</cp:coreProperties>
</file>