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/>
      <w:bookmarkStart w:id="0" w:name="undefined"/>
      <w:r/>
      <w:bookmarkEnd w:id="0"/>
      <w:r>
        <w:rPr>
          <w:sz w:val="24"/>
        </w:rPr>
        <w:t xml:space="preserve">БАЛЛЬНАЯ ШКАЛА</w:t>
      </w:r>
      <w:r/>
    </w:p>
    <w:p>
      <w:pPr>
        <w:pStyle w:val="836"/>
        <w:jc w:val="center"/>
      </w:pPr>
      <w:r>
        <w:rPr>
          <w:sz w:val="24"/>
        </w:rPr>
        <w:t xml:space="preserve">ОЦЕНКИ ИНИЦИАТИВНЫХ ПРОЕКТОВ</w:t>
      </w:r>
      <w:r/>
    </w:p>
    <w:p>
      <w:pPr>
        <w:spacing w:after="1"/>
      </w:pPr>
      <w:r/>
      <w:r/>
    </w:p>
    <w:p>
      <w:pPr>
        <w:pStyle w:val="837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7"/>
        <w:gridCol w:w="7370"/>
        <w:gridCol w:w="923"/>
      </w:tblGrid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Критерии оценки Инициативного проекта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sz w:val="24"/>
              </w:rPr>
              <w:t xml:space="preserve">Максимальный балл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Удельный вес населения, получающего выгоду от реализации Инициативного проекта (процентов от зарегистрированных граждан муниципального образования)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(Количество благополучателей/ количество зарегистрированных граждан муниципального образования по состоянию на 1 января текущего года) x 100%):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до 1%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1% до 5%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свыше 5% - 5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Актуальность проблемы, решение которой имеет приоритетное значение для жителей города Нижневартовска или его части: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имеется подтверждение актуальности проблемы представителями целевой аудитории, потенциальными благополучателями, партнерами в виде писем поддержки, статистики, видео о проекте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отсутствие подтверждения актуальности проблемы - 0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Стоимость реализации Инициативного проекта: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до 500 000 руб.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500 001 руб. до 1 000 000 руб. - 2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1 000 001 руб. до 3 000 000 руб.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3 000 001 руб. до 5 000 000 руб. - 4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5 000 001 руб. до 7 000 000 руб. - 5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свыше 7 000 001 руб. - 6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6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Уровень софинансирования Инициативного проекта: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4.1.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Только со стороны инициатора проекта и иных граждан: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менее 5% - 0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5% до 7% - 2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7,01% до 10% - 4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10,01% до 15% - 6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свыше 15,01% - 8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8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4.2.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Только со стороны индивидуальных предпринимателей, юридических лиц: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менее 5% - 0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5% до 7%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7,01% до 10%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10,01% до 15% - 5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свыше 15,01% - 7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7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4.3.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Со стороны инициатора проекта и иных граждан, индивидуальных предпринимателей, юридических лиц: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менее 5% - 0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5% до 7%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7,01% до 10% - 5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10,01% до 15% - 7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свыше 15,01% - 10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10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Планируемое имущественное и (или) трудовое участие заинтересованных лиц в реализации Инициативного проекта: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отсутствие - 0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имущественное участие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трудовое участие - 1 балл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Количество граждан, приняв</w:t>
            </w:r>
            <w:r>
              <w:rPr>
                <w:sz w:val="24"/>
              </w:rPr>
              <w:t xml:space="preserve">ших участие в вопросе о поддержке Инициативного проекта (согласно протоколам с</w:t>
            </w:r>
            <w:r>
              <w:rPr>
                <w:sz w:val="24"/>
              </w:rPr>
              <w:t xml:space="preserve">обрания граждан или собрания граждан по вопросам осуществления территориального общественного самоуправления, а так же результаты дополнительного выявления мнения граждан: протокол результатов опроса граждан и (или) протокол итогов сбора подписей граждан):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20 до 80 человек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81 до 140 человек - 2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141 до 200 человек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от 201 до 260 человек - 5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свыше 261 человека - 7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7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Наличие оригинальности/необычности проекта: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в случае применения при реализации инициативного проекта инновационных технологий, новых технических решений, концепций, способов и материалов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отсутствие - 0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Адаптивность инициативного проекта для маломобильных групп населения (инклюзивность проекта):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да - 5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нет - 0 баллов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Социальная эффективность от реализации Инициативного проекта. Положительное восприятие населением социальной, экологической и досуговой значимости проекта.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Оценивается суммарно: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способствует оздоровлению экологической обстановки, улучшению качества окружающей среды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способствует здоровому образу жизни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способствует формированию точки социального притяжения - 3 балла;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способствует (оказывает положительное влияние) достижению национальных целей развития, определенных </w:t>
            </w:r>
            <w:r>
              <w:rPr>
                <w:sz w:val="24"/>
              </w:rPr>
              <w:t xml:space="preserve">Указом</w:t>
            </w:r>
            <w:r>
              <w:rPr>
                <w:sz w:val="24"/>
              </w:rPr>
              <w:t xml:space="preserve"> Президента Российской Федерации от 07 мая 2024 года N 309 "О национальных целях развития Российской Федерации на период до 2030 года и на перспективу до 2036 года" - 3 балла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12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Перечень информационных каналов по продвижению Инициативного проекта среди граждан.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Оценивается суммарно: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отсутствие - 0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информационные стенды (листовки, объявления, брошюры, буклеты)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публикации статей (заметок) в периодическом печатном или сетевом издании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теле-, радиоканалы (программы, сюжеты)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социальные сети в телекоммуникационных сетях "Интернет" (посты, статьи, иллюстрации) - 1 балл;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видеохостинги в телекоммуникационных сетях интернет (видеоролики) - 1 балл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5</w:t>
            </w:r>
            <w:r/>
          </w:p>
        </w:tc>
      </w:tr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Визуальное представление Инициативного проекта: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отсутствие - 0 баллов;</w:t>
            </w:r>
            <w:r/>
          </w:p>
          <w:p>
            <w:pPr>
              <w:pStyle w:val="837"/>
            </w:pPr>
            <w:r>
              <w:rPr>
                <w:sz w:val="24"/>
              </w:rPr>
              <w:t xml:space="preserve">- наличие дизайн-проекта, концепта, чертежа, эскиза, схемы проекта, программы мероприятия (сценарий) и др. - 2 балла</w:t>
            </w:r>
            <w:r/>
          </w:p>
        </w:tc>
        <w:tc>
          <w:tcPr>
            <w:tcW w:w="923" w:type="dxa"/>
            <w:textDirection w:val="lrTb"/>
            <w:noWrap w:val="false"/>
          </w:tcPr>
          <w:p>
            <w:pPr>
              <w:pStyle w:val="837"/>
            </w:pPr>
            <w:r>
              <w:rPr>
                <w:sz w:val="24"/>
              </w:rPr>
              <w:t xml:space="preserve">2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ivahnenkovv</cp:lastModifiedBy>
  <cp:revision>2</cp:revision>
  <dcterms:modified xsi:type="dcterms:W3CDTF">2025-06-10T12:09:20Z</dcterms:modified>
</cp:coreProperties>
</file>