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right="-1"/>
        <w:jc w:val="center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Об установлении тарифов на услуги, предоставляемые муниципальным бюджетным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общеобразовательным учреждением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Средняя школа №14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</w:r>
      <w:r/>
    </w:p>
    <w:p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/>
      <w:bookmarkEnd w:id="0"/>
      <w:r/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и </w:t>
      </w:r>
      <w:r>
        <w:rPr>
          <w:sz w:val="28"/>
          <w:szCs w:val="28"/>
        </w:rPr>
        <w:t xml:space="preserve">пересмотром спектра услуг.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>
        <w:rPr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4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2"/>
              <w:gridCol w:w="4962"/>
            </w:tblGrid>
            <w:tr>
              <w:trPr>
                <w:trHeight w:val="1953"/>
              </w:trPr>
              <w:tc>
                <w:tcPr>
                  <w:tcW w:w="5102" w:type="dxa"/>
                  <w:textDirection w:val="lrTb"/>
                  <w:noWrap w:val="false"/>
                </w:tcPr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/>
                </w:p>
                <w:p>
                  <w:pPr>
                    <w:ind w:right="-256"/>
                  </w:pPr>
                  <w:r>
                    <w:rPr>
                      <w:sz w:val="28"/>
                      <w:szCs w:val="28"/>
                    </w:rPr>
                    <w:t xml:space="preserve">н</w:t>
                  </w:r>
                  <w:r>
                    <w:rPr>
                      <w:sz w:val="28"/>
                      <w:szCs w:val="28"/>
                    </w:rPr>
                    <w:t xml:space="preserve">ачальника</w:t>
                  </w:r>
                  <w:r>
                    <w:rPr>
                      <w:sz w:val="28"/>
                      <w:szCs w:val="28"/>
                    </w:rPr>
                    <w:t xml:space="preserve"> отдела мониторинга</w:t>
                  </w:r>
                  <w:r/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</w:t>
                  </w:r>
                  <w:r>
                    <w:rPr>
                      <w:sz w:val="28"/>
                      <w:szCs w:val="28"/>
                    </w:rPr>
                    <w:t xml:space="preserve"> тарифного регулирования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управления экономики </w:t>
                  </w:r>
                  <w:r/>
                </w:p>
                <w:p>
                  <w:pPr>
                    <w:ind w:right="-256"/>
                  </w:pPr>
                  <w:r>
                    <w:rPr>
                      <w:sz w:val="28"/>
                      <w:szCs w:val="28"/>
                    </w:rPr>
                    <w:t xml:space="preserve">и 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</w:t>
                  </w:r>
                  <w:r/>
                </w:p>
              </w:tc>
              <w:tc>
                <w:tcPr>
                  <w:tcW w:w="4962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Е.А. Лещук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экономики и стратегического 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экономики </w:t>
            </w:r>
            <w:r/>
          </w:p>
          <w:p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6AEA-4A7B-45A0-A71C-F40001CF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17</cp:revision>
  <dcterms:created xsi:type="dcterms:W3CDTF">2025-06-10T05:07:00Z</dcterms:created>
  <dcterms:modified xsi:type="dcterms:W3CDTF">2025-08-12T05:52:39Z</dcterms:modified>
</cp:coreProperties>
</file>