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28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Приложение к письму</w:t>
      </w:r>
      <w:r>
        <w:rPr>
          <w:highlight w:val="none"/>
        </w:rPr>
      </w:r>
      <w:r/>
    </w:p>
    <w:p>
      <w:pPr>
        <w:ind w:left="11328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от_________"_________</w:t>
      </w:r>
      <w:r>
        <w:rPr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Информация 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об исполнении П</w:t>
      </w: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лана мероприятий администрации города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по профилактике и предупреждению коррупцио</w:t>
      </w: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нных правонарушений на 2025-2028</w:t>
      </w: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 годы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  <w:t xml:space="preserve">(за </w:t>
      </w:r>
      <w:r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  <w:t xml:space="preserve">6 месяцев 202</w:t>
      </w:r>
      <w:r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  <w:t xml:space="preserve">5 года)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</w:r>
      <w:r>
        <w:rPr>
          <w:color w:val="auto"/>
          <w:sz w:val="22"/>
          <w:szCs w:val="22"/>
        </w:rPr>
      </w:r>
      <w:r/>
    </w:p>
    <w:tbl>
      <w:tblPr>
        <w:tblW w:w="14869" w:type="dxa"/>
        <w:tblInd w:w="-57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53"/>
        <w:gridCol w:w="6961"/>
        <w:gridCol w:w="2074"/>
        <w:gridCol w:w="488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выполнения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Ответственные исполнители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Организационно - правовые и информационно - просветительские мероприятия по повышению эффективности антикоррупционной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Мониторинг средств массовой информации города Нижневартовска на наличие в них материалов о фактах коррупционных проявлений в администрации города, а также в муниципальных организациях; при выявлении - представление информации о них главе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При проведении в отчетный период мониторинга печатных и электронных средств массовой информации, осуществляющих деятельность на территории Нижневартовска,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материалов о фактах коррупционных проявлений в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и в муниципальных организациях не выявлено.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Размещение и наполнение подразделов внутреннего портала органов местного самоуправления города Нижневартовска актуальной информацией, посвященной  вопросам противодействия коррупции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законности, правопорядка и безопасно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сти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отчетный период работниками управления по вопросам муниципальной службы и кадров администрации города 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управления по вопросам законности, правопорядка и безопасно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сти администрации город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производилось размещение и наполнение подразделов внутреннего портала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органов местного самоуправления города Нижневартовска актуальной информацией, посвященной  вопросам противодействия коррупции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На сайте размещен актуализированный вариант карты коррупционных рисков муниципального образования город Нижневартовск.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Разработка медиаплана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освещения мероприятий по противодействию коррупции, проводимых администрацией города, и размещение в соответствии с ним в средствах массовой информации, на официальном сайте органов местного самоуправления города Нижневартовска соответствующих материалов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Медиаплан освещения мероприятий по противодействию коррупции, проводимых администрацией города, на 2025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утвержден 15 января 2025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Подготовка и размещение на официальном сайте органов местного самоуправления города Нижневартовска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разделе "Новости", в социальных сетях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на официальной странице администрации города "Официальный Нижневартовск", в средствах массовой информации актуальной информации: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об антикоррупционной деятельности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 результатах обобщения пра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ктики рассмотрения обращения граждан и юридических лиц по фактам проявления коррупции;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 мероприятиях, проводимых администрацией города совместно с образовательными организациями и общественными объединениями;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недопустимости вручения подарков и иных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форм вознаграждений от организаций и частных лиц муниципальным служащим, должностным лицам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 связи с исполнением ими должностных обязанностей вне зависимости от стоимости этих подарков и поводов дарения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опросам законности, правопорядка и безопасности администрации города (на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основании данных структурных подразделений администрации города);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Управлением по взаимодействию со средствами массовой информации департамента общественных коммуникаций и молодежной политики администрации города  на указанных медиа-ресурсах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распространяется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информация о работе комиссии администрации города по противодействию коррупции, материалы разъяснительного характера, предоставляемые прокуратурой города, тематические памятки,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объявления о проведении публичных слушаний, и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</w:rPr>
              <w:t xml:space="preserve">нформация управления по вопросам законности, правопорядка и безопасности администрации города о результатах исполнения Плана мероприятий администрации города по профилактике и предупреждению коррупционных правонарушений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none"/>
              </w:rPr>
              <w:t xml:space="preserve">Кроме того, средства массовой информации, действующие на территории Нижневартовска, самостоятельно готовят материалы по теме противодействия коррупции на основании сведений,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none"/>
              </w:rPr>
              <w:t xml:space="preserve">предоставляемых правоохранительными органами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течении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учреждения размещают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социальных сетях на официальных страницах, 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официальн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фотоматериал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информацию о проведенных мероприятиях (семинарах, совещаниях),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 проводимой работе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противодействию коррупции, «круглых столов» с участием сотрудников прокуратуры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правоохранительны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орган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тему: «Профилактика коррупционных правонарушений»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недопустимости вручения подарков и иных форм вознаграждений от организаций и частных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Анализ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обращений граждан, объединений граждан, в том числе юридических лиц,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на наличие сведений о возможных проявлениях коррупции в администрации города и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 мере поступления обращений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работе с обращениями граждан и юридических лиц департамента общественных коммуникаций и молодежной политики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none"/>
                <w:shd w:val="clear" w:color="auto" w:fill="ffffff"/>
                <w:lang w:bidi="ru-RU"/>
              </w:rPr>
              <w:t xml:space="preserve">За 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none"/>
                <w:shd w:val="clear" w:color="auto" w:fill="ffffff"/>
                <w:lang w:bidi="ru-RU"/>
              </w:rPr>
              <w:t xml:space="preserve">6 месяцев 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2025 года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в управление по работе с обращениями граждан и юридических лиц департамента общественных коммуникаций</w:t>
              <w:br/>
              <w:t xml:space="preserve">и молодежной политики администрации города поступило 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обращения,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содержащих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информацию о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коррупционных проявлениях</w:t>
            </w:r>
            <w:r>
              <w:rPr>
                <w:rFonts w:ascii="Times New Roman" w:hAnsi="Times New Roman" w:cs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17.01.2025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№92-П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письмо из Аппарата Губернатора, Правительства ХМАО – Югры по обращению Медведева С.Г.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принятии мер в отношении незаконных действий депутата Д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умы г. Мегиона Ситниковой Я.А. при проведении окружного конкурса</w:t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"Лаборатория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будущего "ТАЛАНТЫ"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Ответ направлен заявителю письмом от 05.02.2025 №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3-01-Исх-474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т 04.02.2025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№238-П (письмо из прокуратуры города Нижневартовска по обращению Медведева С.Г.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о принятии мер</w:t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 отношении незаконных действий депутата Думы г. Мегиона Ситниковой Я.А. в проведении окружного конкурса в области искусства "Лаборатория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будущего "ТАЛАНТЫ"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 Ответ направлен заявителю и в прокуратуру города Нижнев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артовска письмами от 21.02.2025</w:t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№3-01-Исх-7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48 и от 24.02.2025 №1-Исх-200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19.03.2025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№591-п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письмо из приемной Президента российской Федераци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и в ХМАО – Югре по обращению</w:t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ООО «Ремстройдеталь-Проект»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Дубровина С.В.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по вопросам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проведении проверки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результатов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аукцио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на на право заключения договора</w:t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на осуществление деятельности по перемещению задержанных транспортных средств на специализированную стоянку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 Ответ направлен заявителю и в приемную Президента Российской Федерации по ХМАО – Югре письмами от 14.04.2025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 4-01-Исх-1021 и от 15.04.2025</w:t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№1-Исх-448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от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29.04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№938-п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анонимное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обращение по вопросам нарушения трудовых прав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и дискриминаци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и сотрудников детского сада №69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со стороны руководства дошкольного образовательного учреждения)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 Служебная записка на имя главы города, разъясняющая информацию по данному вопросу, представлена главе города для снятия обращения с контроля (письмо от 26.05.2025 №34-Исх-3182).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Проверка фактов, указанных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обращениях граждан, объединений граждан, в том числе юридических лиц,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о возмож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ных проявлениях коррупции. Принятие мер к профилактике и недопущению в дальнейшем подобных фактов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 мере выявления сведений о возможных проявлениях коррупции и (или) предпосылок для совершения коррупционных правонарушений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Структурными подразделениями администрации города и муниципальными учреждениями ежемесячно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мониторинг социальных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тей на предмет выявления информации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граждан,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указывающих на наличие нарушений в  осуществляемой деятельности,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размещаются отчеты о результатах рассмотрения обращений граждан и юридических лиц в разделе «Результаты рассмотрения обращений информационного ресурса «ССТУ.РФ».»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целях усиления контроля за деятельностью антик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оррупционной направленности на объектах подведомственных учреждений установлены в свободном доступе специализированные почтовые ящики «Ящики доверия» для сбора письменных обращений граждан. На официальных сайтах муниципальных учреждений предусмотрен раздел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«Обратная связь»,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«Напишите нам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граждане могут направить обращение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любую тему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фактах коррупционных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сайтах муниципальных учреждений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разделы, где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граждане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могут задавать вопросы, излагать проблемы, конкретные ситуации и получать на них ответы соответствующих специалистов.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Ежемесячно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и анализируется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личный прием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проводимый руководителями учреждений.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Регулярно в учреждениях проходят собрания трудовых коллективов с освещением вопросов данной тематики с приглашением сотрудников УМВД, прокуратуры, общественности.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незаконными решений и действий (бездействия) органов местного самоупра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вления и их должностных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24.03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.202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на аппаратн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ом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совещани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при главе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города рассмотрены вопросы правоприменительной практики по результатам вступивших в силу в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IV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квартале 2024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года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решений судов о признании недействительными ненормативных правовых актов, незаконными решений и действий (бездействия) органов местного самоуправ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ления и должностных лиц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Правоприменительная практика за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 квартал будет рассмотрена на аппаратн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ом совещании при главе города 11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08.2025</w:t>
            </w:r>
            <w:r>
              <w:rPr>
                <w:rStyle w:val="991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Основные направления деятельности администрации города в системе кадровой работы по повышению эффективности противодействия коррупции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представления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за предшес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твующий год муниципальными служащими, руководителями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 позднее 30 апреля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Управлением по вопросам муниципальной службы и кадров администрации города в период декларационной кампании 2025 года проведена работа по организации представления 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 имуществе и обязательствах имущественного характера (далее – Сведения) муниципальными служащими администрации города, должности которых включены в соответствующий Перечень должностей, и руководителями муниципальных учреждений города за отчетный 2024 год.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Разработан график приема Сведений в 2025 году (за отчетный 2024 год), согласно которому ответственными должностными лицами за организацию работы по профила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тике коррупционных и иных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нарушений осуществлялась индивидуальная консультация и прием справок муниципальных служащих администрации города и руководителей муниципальных учреждений города.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Разработана презентация «Как представить сведения о доходах, расходах, об имуществе и обязательствах имущественного характера в 2025 году (за отчетный 2024 год).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муниципальных служащих администрации города график и презентация доведены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утем размещения на внутреннем портале органов местного самоуправления города Нижневартовска. До руководителей муниципальных учреждений график и презентация доведены в индивидуальном порядке путем направления в муниципальные учреждения по электронной почте.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представления Сведений в 2025 году за отчетный 2024 год и соблюдения требований к служебному поведению в сфере противодействия коррупции в отчетный период организованы и проведены: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семинар для муниципальных служащих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семинар для руководителей муниципальных учреждений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муниципальных служащих была доведена инструкция по предоставлению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ведений в электронном виде, посредством государственной информационной системы управления кадрами автономного округа через личный кабинет, на Управленческом портале «Команда Югры».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состоянию на 30.04.2025 обязанность по представлению Сведений за отчетный 2024 год муниципальными служащими админи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страции города и руководителями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учреждений выполнена на 100%.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Проведение семинаров для муниципальных служащих администрации города и руководителей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муниципальных организаций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 вопросам представления сведений о доходах, расходах, об имуществе и обязательствах имущественного характера за отчетный год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25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2026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2027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2028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представления Сведений в 2025 году за отчетный 2024 год в отчетный период организованы и проведены: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семинар для муниципальных служащих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семинар для руководителей муниципальных учреждений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проверки знаний по вопросам противодействия коррупции на аттестации муниципальных служащих администрации города, руководителей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, в том числе по вопросам в сфере законодательства о контрактной системе (способы, сроки осущ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ествления закупок, сроки и порядок общественного обсуждения закупок)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проведении аттестации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руководители структурных подразделений администрации города, осуществляющих функции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учредителей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1 полугодие 2025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проведена аттестация: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- 55 муниципальных служащих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- 1 кандидата на должность руководителя муниципальной организации города: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«Управление лесопаркового хозяйства города Нижневартовска».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ходе аттестаций проводилась проверка знаний по вопросам противодействия коррупции и законодательства о контрактной системе.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4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Изучение обзоро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(подготовленных Министерством труда и социальной защиты РФ)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изучен обзор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(подготовленны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Министерством труда и социальной защиты Российской Федерации).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мере  возникновения необходимости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отчетный период проведено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города.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рекомендациями комиссии в должностные инструкции определенных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служащих внесены изменения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исключающие коррупционные риски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исполнении должностных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мероприятий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лиц, в должностные обязанности которых входит участие в противодействии коррупции;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лиц, в должностные обязанности которых входи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 участие в проведении закупок товаров, работ, услуг для обеспечения муниципальных нужд и осуществлении муниципального контроля.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целях реализации мероприятий по профессиональному развитию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области противодействия коррупции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отчетный период проводились мероприятия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индивидуального консультирования муниципальных служащих администрации города и руководителей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по заполнению и сдаче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графику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Работниками управления по вопросам муниципальной службы и кадров администрации города в период декл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арационной кампании, обеспечено индивидуальное консультирование муниципальных служащих администрации города и руководителей муниципальных учреждений по заполнению и сдаче сведений о доходах, расходах, об имуществе и обязательствах имущественного характера.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Запрос сведений в Федеральной налоговой службе Российской Федерации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на предмет участия муниципальных служащих в предпринимательской деятельности, в управлении комме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рческими и некоммерческими организациями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проводится в установленные сроки.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Антикоррупционная экспертиза нормативных правовых актов главы города и их проектов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Обобщение результатов антикоррупционной экспертизы нормативных правовых актов главы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города, проектов нормативных правовых актов главы города.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Доведение до сведения 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лавы города, заместителей главы города, управляющего делами администрации города, руководителей структурных подразделений администрации города, подведомственных главе города, информации по результатам анализа на коррупциогенность проектов муниципальных пра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вовых актов и действующих муниципальных правовых 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ежеквартально,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позднее 20 числа месяца,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следующего за отчетным кварталом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юридическое управление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 полугодие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2025 года проведена антикоррупционная экспертиза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167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проек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тов нормативных правовых актов 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действующего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нормативного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главы города.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 проведении антикоррупционной экспе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ртизы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проектов нормативных правовых актов главы города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фактор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ы не выявлены.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Информация об обобщении результатов антикоррупционной экспертизы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нормативных правовых актов и проектов нормативных правовых актов направлена в адрес главы города, заместителей главы города, управляющего делами администрациями города, руководителей структурных подразделений администрации города, подведомственных главе 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рода, письмами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 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.04.202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800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 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.04.202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801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от 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.04.202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802, от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1475, от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1476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1476.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мониторинга правоприменения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нормативных правовых актов главы города, распоряжений и приказов руководителей отраслевых (функциональных) органов администрации города, носящих нормативно-правовой характер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сроки, утвержденные планами мониторинга правоприменения нормативных правовых ак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юридическое управление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распоряжением администрации города Нижневартовска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20.12.2024 №959-р «О плане мониторинга правоприменения нормативных правовых актов на 2025 год»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юридическим управлением проведен мониторинг правоприменения постановления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12.08.2016 №1188 «Об утверждении типовых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ктов для организации деятельности по противодействию коррупции в муниципальных учреждениях предприятиях города Нижневартовска, хозяйственных обществах, единственным учредителем (участником) которых является администрация города».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мониторинга правоприменения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постановлении дефекты норм, правовые пробелы, нормы, вызывающие затруднения в применении,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коррупциогенные факторы не выявлены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№07-Исх-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ой и иной экономической деятельности, инвестиционной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 администрации города, являющиеся разработчиками проектов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1 полугодие 2025 года структурными подразделениями администрации города проведены: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оценка регулирующего воздействия 10 проектов муниципальных НПА;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экспертиза 1 муниципального НПА.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Департаментом экономического развития администрации города (уполномоченный орган) выдано 11 положительных, 2 отрицательных заключения.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Критерии оценки эффективности: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оля муниципальных НПА, затрагивающих вопросы осуществления предпринимательской и иной экономической деятельности, инвестиционной деятельности, прошедших процедуру ОРВ, от общего количества проектов муниципальных НПА, подлежащих ОРВ на отчетную дату – 100%.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муниципальных НПА,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затрагивающих вопросы осуществления предпринимательской и инвестиционной деятельности, прошедших экспертизу, от общего количества муниципальных НПА, подлежащих экспертизе в соответствии с утвержденным планом проведения экспертизы на отчетную дату – 16,7%.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экспертизы и ОРВ обеспечено поступление отзывов участников публичных консультаций в электронном виде с использованием сервисов портала </w:t>
            </w:r>
            <w:hyperlink r:id="rId12" w:tooltip="http://regulation.admhmao.ru" w:history="1"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</w:rPr>
                <w:t xml:space="preserve">://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regulation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admhmao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а также от организаций, с которыми администрацией города заключены соглашения о взаимодействии. </w:t>
            </w:r>
            <w:r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  <w:t xml:space="preserve">Замечаний при проведении ОРВ на проекты документов, разработчиком которых является ДЖКХ администрации города, в отчетном периоде не поступали.</w:t>
            </w:r>
            <w:r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Проведение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 админист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рации города, являющиеся разработчиками проектов муниципальных нормативных правовых актов, устанавливающих обязательные требования;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За 1 полугодие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 2025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оценка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применения обязательных требований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(далее – ОПОТ)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устанавливаемых муниципальными нормативными правовыми актами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проводилась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Муниципальные нормативные правовые акты, устанавливающие обязательные требования, подлежащие включению в План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проведения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ОПОТ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на 2025 год, отсутствуют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Меры по совершенствованию муниципального управления и установлению антикоррупционных механизмов (барьеров)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Предупреждение коррупционных рисков, возникающих при осуществлении закупок для муниципальных нужд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Осуществление муниципальных закупок 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оваров, работ, услуг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управление муниципальных закупок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1 полугодие 2025 года с использованием конкурентных способов определения поставщика (подр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ядчика, исполнителя) заключено 605 контрактов на поставку товаров, выполнение работ, оказание услуг для обеспечения муниципальных нужд на сумму 3 407,51 млн. рублей                        (за 1 полугодие 2024 года – 561 контракт на сумму 9 666,1 млн. 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Официальные информационные сообщения о проведении публичных слушаний и общественных обсужден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ий по проектам муниципальных правовых актов, результаты проведенных публичных слушаний и обсуждений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 также сведения о предоставлении государственных и муниципальных услуг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размещаются в резделе “Официальная информация” на сайте сетевого издания “Газета Варта - 24”. С начала года по состоянию на отчетную дату в разделе размещено 220 информационных материалов.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hyperlink r:id="rId13" w:tooltip="https://gazeta-varta.ru/ofitsialnaya-informatsiya/" w:history="1"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  <w:highlight w:val="white"/>
                </w:rPr>
                <w:t xml:space="preserve">https://gazeta-varta.ru/ofitsialnaya-informatsiya/</w:t>
              </w:r>
              <w:r>
                <w:rPr>
                  <w:rStyle w:val="974"/>
                  <w:rFonts w:ascii="Times New Roman" w:hAnsi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нализ осуществления закупок товаров, работ, услуг для муниципальных нужд, включая анализ исполнения контрактов, заключенных по итогам определения поставщиков (подрядчиков, исполнителей) конкуре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нтными способами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15.02.2025;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02.08.2025;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15.02.2026;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02.08.2026;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15.02.2027;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муниципальных закупок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 осуществления закуп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товаров, работ, услуг для муниципальных нужд, включая анализ исполнения контрактов, заключенных по итогам определения поставщиков (подрядчиков, исполнителей) конкурентными способами за 2024 год направлен главе города исх. №25-Исх-118 от 31.01.2025.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проведения семинаров по вопросам осуществления муниципальных закупок, включая вопросы контроля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муниципальных закупок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контрольно-ревизионное управление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Управлением муниципальных закупок администрации города 13.05.2025 был организован семинар для должностных лиц органов местного самоуправления, заказчиков, осуществляющих закупки в соответствии с Федеральным законом от 05.04.2013 №44-ФЗ,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приглашением представителей электронной площадки РТС-Тендер. На семинаре присутствовало 87 человек.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управлением муниципальных закупок были направлены приглашения муниципальным заказчикам принять участие в мероприятиях: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-обучающий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работе в региональной информационной системе в сфере закупок Ханты-Мансийского автономного округа – Югры «Формирование сведений о контракте по п. 4,5 ч. 1 ст. 93 Закона №44-ФЗ» (07.02.2025);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очный семинар на тему «Контрактная система в сфере закупок товаров, работ и услуг. Практика применения федерального закона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05.05.2013» (15.05.2025).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05.2025 проведен семинар ООО "РТС – тендер"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частием специалистов контрольно-ревизионного управления, представителей заказчиков. Участники семинара были проинформированы специалистами контрольно-ревизионного управления об основных нарушениях в сфере закупок, выявляемых в ходе контрольных мероприятий.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7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Формирование списка членов комиссии из числа работников администрации города по осуществлению закупок товаров, работ, услуг для муниципальных нужд, наделенных полномочиями по принятию решений в сфере закупок, и списка участников закупок. Представление данн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ых списков в 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ежеквартально, не позднее 5 числа месяца, следующего за отчетным кварталом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муниципальных закупок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Список членов комиссии по осуществлению закупок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товаров, работ, услуг для муниципальных нужд, наделенных полномочиями по принятию решений в сфере закупок, и список участников закупок направлен управлению по вопросам муниципальной службы и кадров администрации города исх. №25-Исх-889 от 27.12.2024.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Осущес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твление мониторинга наличия родства (свойства) должностных лиц, наделенных полномочиями по принятию решений в сфере закупок, с лицами, осуществляющими предпринимательскую деятельность и участвующими в закупках товаров, работ, услуг для муниципальных нужд.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ежеквартально, не позднее 15 числа месяца, следующего за отчетным кварталом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Мониторинг проведен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. Родство или свойство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должностных лиц, наделенных полномочиями по принятию решений в сфере зак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упок, с лицами, осуществляющими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предпринимательс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кую деятельность и участвующими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закупках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не выявлено.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Совершенствование организации деятельности по использованию муниципального имущества и городских 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Осуществление контроля за использованием и распоряжением муниципальным имуществом, переданным  муниципальным организациям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сроки, утвержденные учредителями, планами проведения проверок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Департаментом муниципальной собственности и земельных ресурсов администрации города за первое полугодие 2025 года осуществлены 3 плановые проверки в МБДОУ ДС №31 "Медвежонок", МБУ "НКМ им. Т.Д. Шуваева", МАУДО г. Нижневартовска "СШ":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 ходе проверок учреждений были выявлены следующие нарушения: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1. Факт размещения локально-нормативных документов с нарушением сроков, установленных действующим законодательством Российской Федерации, а 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в МБДОУ ДС №31 "Медвежонок":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распоряжение администрации города от 12.01.2022 №12-лс  "О продлении срока трудового договора с Н.В. Дирлам" (нормативная дата размещения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19.01.2022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фактическая дата размещения 20.03.2025) – более одного года; распоряжение администрации города  от 16.01.2025 №13-лс "О назначении" (нормативная дата размещения 23.01.2025, фактическая дата размещения 20.03.2025) – 40 дней;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отчет о результатах деятельности муниципального бюджетного дошкол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ьного образовательного учреждения детского сада №31 "Медвежонок" и об использовании закрепленного за ним муниципального имущества по состоянию на 1 января 2025 года (нормативная дата размещения 24.02.2025, фактическая дата размещения 20.03.2025) – 18 дней;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в МБУ "НКМ им. Т.Д. Шуваева": приказ департамента муниципальной собственности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земельных ресурсов администрации города от 17.04.2024 №746/36-01-П "О внесении изменений в устав муниципального бюджетного учреждения "Нижневартовский краеведческий музей имени Тимофея Дмитриевича Шуваева" (нормативная дата размещения 23.04.2024, фактическ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ая дата размещения 24.04.2025) – более одного года; распоряжение администрации города от 28.10.2024 №583-лс "О продлении срока трудового договора с Л.Е. Ковалевой" (нормативная дата размещения 05.11.2024, фактическая дата размещения 24.04.2025) – 114 дней;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МАУДО г. Нижневартовска "СШ":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контрольно-ревизионного управления администрации города от 01.08.2024 №40-Исх-375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(нормативная дата размещения 08.08.2024, фактическая дата размещения 21.01.2025) – 111 дней.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Расхождения в характеристиках зарегистрированных прав в Едином государственном реестре недвижимости (ЕГРН) с правоустанавливающей и технической документацией недвижимого имущества, зафиксировано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МАУДО г. Нижневартовска "СШ"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. Объекты незавершенного строительства не выявлены.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. Нарушения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 по ведению и формированию перечня ос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обо ценного движимого имущества выявлено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МБДОУ ДС №31 "Медвежонок"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. Недостачи, используемого не по целевому назначению имущества, непрофильных активов не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выявлены.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. Выявлены излишки материальных ценностей, сведения о наличии которых по данным бюджетного учета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МБДОУ ДС №31 "Медвежонок", МБУ "НКМ им. Т.Д. Шуваева", МАУДО г. Нижневартовска "СШ"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eastAsia="ru-RU"/>
              </w:rPr>
              <w:t xml:space="preserve">, отсутствуют.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7.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 результате проверок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МБДОУ ДС №31 "Медвежонок", МБУ "НКМ им. Т.Д. Шуваева"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рекомендовано исключить из устава не осуществляемые дополнительные виды деятельности, приносящие доход, согласно порядку внесения изменений в устав.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 итогам проверок составлены акты проверок.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Размещение на официальном сайте органов местного самоуправления города Нижневартовска, а также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официальном сайте Российской Федерации в информационно-телекоммуникационной сети "Интернет" для размещения информации о проведении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о проведении торгов (по приватизации муниципального имущества; на право заключения договоров аренды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имущества; на право заключения договоров о развитии застроенных территорий; на право заключения договоров аренды земельного участка);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об итогах проведения торгов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сроки, определенные законодательст-вом и муниципальными правовыми актами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 Документы о планировании приватизации, решения об условиях приватизации, информация о проведении торгов в порядке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приватизации, итогов торгов и сделках приватизации объектов муниципальной собственности размещаются на официальном сайте органов местного самоуправления города Нижневартовска (www.n-vartovsk.ru) в разделе "Торговая площадка"/"Муниципальная собственность"/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"Муниципальное имущество"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</w:t>
            </w:r>
            <w:hyperlink r:id="rId14" w:tooltip="http://www.torgi.gov.ru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u w:val="single"/>
                  <w:lang w:eastAsia="ru-RU"/>
                </w:rPr>
                <w:t xml:space="preserve">www.torgi.gov.ru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 отчетном периоде на сайтах в сети Интернет были опубликованы: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решение Думы города Нижневартовска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от 28.02.2025 №504 "О результатах приватизации муниципального имущества в городе Нижневартовске за 2024 год"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решение Думы города Нижневартовска от 28.02.2025 №505 "О внесении изменений в решение Думы города Нижневартовска от 13.12.2024 №487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"О Прогнозном плане (программе) приватизации муниципального имущества в городе Нижневартовске на 2025 год и плановый период 2026-2027 годов";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решение Думы города Нижневартовска от 25.04.20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25 №530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"О внесении изменений в решение Думы города Нижневартовска от 13.12.2024 №487 "О Прогнозном плане (программе) приватизации муниципального имущества в городе Нижневартовске на 2025 год и плановый период 2026-2027 годов";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- 4 решения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об условиях приватизации;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- 2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информационных сообщения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о проведении продажи посредством публичного предложе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ния в отношении 1 лота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и об ее итогах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- 2 информационных сообщения о результатах аукционов в отношении 8 лотов;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- 3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информаци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онных сообщений о результатах 3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сдел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ок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приватизации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II. Информационные сообщения о проведении торгов на право заклю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чения договоров аренды муниципального имущества, включающие сведения о времени, месте и форме торгов, о порядке оформления заявок на участие в торгах, о начальной цене предметов торгов, размещаются на официальном сайте Российской Федерации в сети Интернет </w:t>
            </w:r>
            <w:hyperlink r:id="rId15" w:tooltip="http://www.torgi.gov.ru/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u w:val="single"/>
                  <w:lang w:eastAsia="ru-RU"/>
                </w:rPr>
                <w:t xml:space="preserve">www.torgi.gov.ru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а также на официальном сайте органов местного самоуправления города Нижневартовска в сети Интернет - </w:t>
            </w:r>
            <w:hyperlink r:id="rId16" w:tooltip="http://www.n-vartovsk.ru/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u w:val="single"/>
                  <w:lang w:eastAsia="ru-RU"/>
                </w:rPr>
                <w:t xml:space="preserve">www.n-vartovsk.ru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в разделе "</w:t>
            </w:r>
            <w:hyperlink r:id="rId17" w:tooltip="http://www.n-vartovsk.ru/tradingfloor/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u w:val="single"/>
                  <w:lang w:eastAsia="ru-RU"/>
                </w:rPr>
                <w:t xml:space="preserve">Торговая площадка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"/"</w:t>
            </w:r>
            <w:hyperlink r:id="rId18" w:tooltip="http://www.n-vartovsk.ru/tradingfloor/municipalproperty/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u w:val="single"/>
                  <w:lang w:eastAsia="ru-RU"/>
                </w:rPr>
                <w:t xml:space="preserve">Муниципальная собственность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"/"</w:t>
            </w:r>
            <w:hyperlink r:id="rId19" w:tooltip="http://www.n-vartovsk.ru/tradingfloor/municipalproperty/property/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u w:val="single"/>
                  <w:lang w:eastAsia="ru-RU"/>
                </w:rPr>
                <w:t xml:space="preserve">Муниципальное имущество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".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 состоянию на 30.06.2025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на сайтах в сети Интерне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т было опубликовано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информационных сообщений о проведении аукционов в э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лектронной форме в отношении 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лотов.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 Информационные сообщения о проведении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торгов на право заключения договоров аренды земельных участков, включающие сведения о времени, месте и форме торгов, о порядке оформления заявок на участие в торгах, о начальной цене предметов торгов размещаются на официальном сайте Российской Федерации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сети Интернет www.torgi.gov.ru, электронной площадке АО "Сбербанк – АСТ", (торговая секция "Приватизация, ар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енда  и продажа прав"), а также на официальном сайте органов местного самоуправления города Нижневартовска в сети Интернет - www.n-vartovsk.ru в разделе "Торговая площадка"/"Муниципальная собственность"/"Земельные участки"/"О торгах на земельные участки".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 отчетном перио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де опубликовано 15 информационных сообщений о проведении открытых (закрытых) аукционов на право заключения договоров аренды земельных участков (в том числе на право заключения договора о комплексном развитии территории жилой застройки) в отношении 15 лотов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Выявление непрофильных активов имущества, не участвующего в финансово-хозяйственной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 xml:space="preserve">Департаменто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 xml:space="preserve"> при проведении контрольных мероприятий, анализа обращений муниципальных и некоммерческих организаций непрофильные активы имущества, не участвующего в финансово-хозяйственной деятельности муниципальных организаций за первое полугодие 2025 года не выявлены.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Осуществление контроля за соблюдением условий договоров: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аренды земельных участков, муниципального имущества;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на установку и эксплуатацию рекламных конструкций;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купли-продажи приватизированных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Проведено 33 выездных мероприятий в рамках осуществления контроля за соблюдением условий договоров аренды земельных участков, безвозмездного пользования земельными участками.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 целях снижения задолженности по арендной плате за землю проведены следующие мероприятия: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направлены претензии (требования) арендаторам, нарушающим обяза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тельства по внесению в бюджет города денежных средств по арендной плате за земельные участки, по 189 договорам аренды и 62 претензиям о возмещении стоимости неосновательного обогащения на сумму 236 180,34 тыс.руб., в результате оплачено 2 612,83 тыс. руб.;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в юридическое управление администрации города для взыскания с арендаторов задолженности в судебном порядке передано по договорам аренд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ы земельных участков, а также по претензиям о возмещении стоимости неосновательного обогащения 131 дело на общую сумму 75 128,46 тыс. руб. В результате в 2025 году по взысканной в судебном порядке задолженности в бюджет города поступило 29 772,46 тыс.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 целях снижения задолженности по обязательствам в отношении муниципального имущества в отчетном периоде проведены следующие мероприятия: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подготовлено и направлено 165 претензий по внесению оплаты в бюджет города на общую су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мму 20 169 659,91 руб., по результатам претензионной работы в погашение задолженности поступило 5 303 285,60 руб., за использование и приватизацию муниципального имущества, за право на заключение договоров на установку и эксплуатацию рекламных конструкций;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 подготовлено и направлено 11 дел для взыскания с контрагентов задолженности в судебном порядке на общую сумму 997 394,95 руб. По вступившим в законную силу решениям суда в бюджет города поступили денежные средства на сумму 1 941 367,24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 результате мероприятий по сокращению задолженности поступило 7 244 652,84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Снижение административных барьеров и повышение доступности муниципальных (государственных)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Предоставление муниципальных (государственных) услуг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города, предоставляющие муниципальные (государственные)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состоянию на 01.0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.2025 структурными подразделениями администрации города предоставляется 67 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государственных услуг по отдельным переданным полномочиям автономного округа, а также 5 функций муниципального контроля. Муниципальными учреждениями, подведомственными администрации города, оказывается 9 услуг.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электронном виде посредством Единого портала государственных и муниципальных услуг (функций) предоставляется 2 государственные и 40 му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ниципальных услуг.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</w:rPr>
              <w:t xml:space="preserve">Критерии оценки эффективности: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Доля оказываемых муниципальных (государственных) услуг, по которым разработаны административные регламенты от общего числа предоставляемых муниципальных (государственных) услуг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– 100%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Доля муниципальных (государственных) услуг, предоставленных в электронном виде, от общего количества предоставляемых муниципальных (государственных) услуг через Единый портал государственных и муниципальных услуг (функций) –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99,9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%.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4.3.2.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Межведомственное информационное взаимодействие в электронной форме при предоставлении муниципальных (государственных)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города, предоставляющие муниципальные (государственные) услуги;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муниципальное 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9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 отчетном периоде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 государственные органы направлено: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- 131 межведомственный запрос о предоставлении информации в рамках порядка размещения нестацион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арных торговых объектов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- 125 межведомственны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запрос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 предоставлении информации в рамках порядка предоставления финансовой поддержки субъектам малого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- 72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межведомственны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запрос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 предоставлении информации в рамках порядков предоставления субсидий на поддержку растениеводства, животноводства и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рыбохозяйственного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комплекса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Доля межведомственных запросов в электронной форме составляет 100%.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  <w:highlight w:val="none"/>
              </w:rPr>
              <w:t xml:space="preserve">И другие запросы от всех!</w:t>
            </w:r>
            <w:r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4.3.3.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Увеличение доли 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ниципальных (государственных) услуг, предоставляемых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города, предоставляющие муниципальные (государственные) услуги;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полугодие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2025 года филиалом АУ ХМАО-Югры "Многофункциональный центр предоставления государственных и муниципальных услуг Югры" в городе Нижневартовске (далее – МФЦ) предоставлялось 65 видов услуг, оказываемых администрацией города, из них: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- 63 муниципальные услуги (из них 2 муниципальные услуги переданы на исполнение в МФЦ в полном объеме);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- 2 государственные услуги по отдельным переданным полномочиям автономного округа.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отчетном периоде специалистами МФЦ было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оказано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государственных и муниципальных услуг, предоставляемых администрацией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видов муниципальных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(государственных)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услуг, предоставляемых МФЦ, от общего кол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ичества муниципальных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(государственных)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услуг, предоставляемых структурными подразделениями администрации города и подведомственными организациями –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89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%.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Привлечение граждан и институтов гражданского общества к профилактике и предупреждению коррупционных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публичных слушаний и общественных обсуждений по проектам муниципальных правовых актов. Опубликование результатов публичны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х слушаний и общественных обсуждений в средствах массовой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при разработке проектов муниципальных правовых актов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взаимодействию со средствами массовой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информации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1 полугодие 2025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структурными подразделениями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проводились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20.01.2025 по 04.02.2025 на официальном сайте органов местного самоуправления города Нижневартов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государственной автоматизированной информационной системе "Управление", 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проведено общественное обсуждение проекта распоряжения администрации города "Об утверждении бюджетного прогноза города Нижневартовска на долгосрочный период до 2036 года"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Итоговый протокол общественного обсуждения проекта распоряжения администрации города "Об утверждении бюджетного прогноза города Нижневартовска на долгосрочный период до 2036 года"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05.02.2025 размещен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11.04.2025 в центральной городской библиотеке им. М.К.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Анисимковой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муниципального бюджетного учреждения "Библиотечно-информационная система" проведены публичные слушания по проекту решения Думы города Нижневартовска "Об исполнении бюджета гор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ода Нижневартовска за 2024 год".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Информация по результатам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публичных слушаний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проекту решения Думы города Нижневартовска "Об исполнении бюджета города Нижневартовска за 2024 год"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официально обнародована в сетевом издании "Газета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арта-24", а также размещена на официальном сайте органов местного самоуправления в рубрике "Публичные слушания и общественные обсуждения" и 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Портале для публичного обсуждения проектов и действующих нормативных актов Ханты-Мансийского автономного округа – Югры (https://regulation.admhmao.ru/) осуществляется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публичных консультаций проектов и действующих муниципальных нормативных правовых актов, затрагивающих предпринимательскую и иную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экономическую, инвестиционную деятельность, в соответствии с Порядком проведения ОРВ, экспертизы, утвержденным постановлением 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ации города от 29.10.2015 №1935;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общественной экспертизы и публичного обсуждения проектов муниципальных нормативных правовых актов на предмет выявления возможных рисков нарушения антимонопольного законодательства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ложением об антимонопольном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комплаенсе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утвержденным распоряжением администрации города от 31.12.2019 №1723-р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Публичные слушания по проекту решения Думы города «О внесении изменений в Устав города Нижневартовска, принятый решением Думы города от 20.06.2005 №502» проводились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23.06.2025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постановлением главы города от 17.06.2025 №42-пг 20.06.2025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публичные слушания по проекту актуализированной схемы теплоснабжения города Нижневартовска.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публичных слушаний размещены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25.06.2025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сетевом издании "Газета Варта-24"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В рамках согласования, материалы документов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 по градостроительной деятельности проходят процедуру общественных обсуждений. 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За 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 полугодие 2025 года было проведено 46 общественных обсуждений: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- 1 по проекту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«О внесении изменений в решение Думы города Нижневартовска от 18.09.2020 №667 «О Правилах благоустройства территории города Нижневартовска» (с изменениями от 27.09.2024 №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456).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- 2 по проектам «О внесении изменений в постановление администрации города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т 22.07.2022 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   №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493 "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 правилах землепользования и застройки 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а территории города 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ижневартовска"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- 5 по проектам </w:t>
            </w: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редоставлени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я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 разрешения на условно разрешенный вид использования земельного участка или объекта капитального строительства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 и п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редоставлени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я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- 38 по проектам утверждения 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2"/>
                <w:szCs w:val="22"/>
                <w:lang w:eastAsia="en-US"/>
              </w:rPr>
              <w:t xml:space="preserve">документации по планировке территории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Ознакомиться в документам возможно на официальном сайте органа местного самоуправления (</w:t>
            </w:r>
            <w:hyperlink r:id="rId20" w:tooltip="https://www.n-vartovsk.ru/public-hearing/" w:history="1">
              <w:r>
                <w:rPr>
                  <w:rStyle w:val="974"/>
                  <w:rFonts w:ascii="Times New Roman" w:hAnsi="Times New Roman" w:eastAsia="Tinos" w:cs="Times New Roman"/>
                  <w:bCs/>
                  <w:sz w:val="22"/>
                  <w:szCs w:val="22"/>
                </w:rPr>
                <w:t xml:space="preserve">https://www.n-vartovsk.ru/public-hearing/</w:t>
              </w:r>
            </w:hyperlink>
            <w:r>
              <w:rPr>
                <w:rFonts w:ascii="Times New Roman" w:hAnsi="Times New Roman" w:eastAsia="Tinos" w:cs="Times New Roman"/>
                <w:bCs/>
                <w:color w:val="000000" w:themeColor="text1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Мониторинг коррупционных рисков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анализа коррупционных рисков, возникающих при исполнении муниципальными служащими должностных обязанностей, с дальнейшей разработкой мер по минимизации выявленных коррупционных рисков и снижению уровня коррупции в конкретных сферах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 не позднее 20 декабря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учетом результатов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социологического исследо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вания по оценке уровня коррупции в городе Нижневартовске и рекомендаций по итогам работы за 2024 год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полугодии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году произведены анализ и оценка перечня коррупционных рисков, а также мер по их минимизации включенных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арту коррупционных рисков администрации муниципального образования «город Нижневартовс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к».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проведенного анализа установлено, что нормативно-правовые документы структурных подразделений администрации города соответствуют требованиям законодательства. Процедуры приема документов, проведения проверок, проведения конкурентных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закупок, заключения муниципальных контрактов, исполнения муниципальных контрактов, подготовки документов и иных действий, определенных постановлениями администрации города Нижневартовска, соблюдены. Меры по минимизации коррупционных рисков актуализированы.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контроле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должностные  инструкции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муниципальных служащих.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нализ коррупционных рисков проводится постоянно.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Меры по образовательному обеспечению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проведения  мероприятий по вопросам противодействия коррупции, развития малого и среднего предприниматель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ства, устранения административных барьеров, препятствующих развитию бизнеса, при участии представителей прокуратуры города, правозащитных организаций, территориальных органов федеральных органов исполнительной власти, предпринимателей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(в части касающейся)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4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полугодии 2025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экономического развития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следующи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15.01.2025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-игра в рамках реализации образовательного проекта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Бизнес-класс как форма начального экономического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которой приняли участие 5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27.01.2025 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10 субъектов малого и среднего предпринимательства - членов Совета.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13.02.2025 круглый стол на тему: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Получение мер финансовой поддержки через информационную систему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Электронный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в котором приняли участие 65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субъектов малого и среднего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05.03.2025 заседание Общественного совета при департаменте экономического развития администрации города, в котором приняли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представителя делового и научного сообщества, а также общественности - член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Совета;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20.03.2025 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11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25.03.2025 заседание круглого стола с участием представителей ИФНС,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Роспотребнадзора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ПАО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Сбербанк России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Торгово-промышленной палаты по актуальным вопросам законодательства. В заседании приняли участие 42 субъекта малого и среднего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04.04.2025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12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17.04.2025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статуса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социальное предприятие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котором приняли участие 15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20.05.2025 круглый стол с предпринимательским сообществом города Нижневартовска и представителями контрольно-надзорных органов по вопросам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соблюдения Правил благоустройства территории города Нижневартовска, соблюдения предприятиями общественного питания требований санитарных правил и норм, применения схемы дробления бизнеса с целью оптимизации налоговых обязательств и ухода от уплаты налогов;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23.05.2025 награждение победителей и участников городского конкурса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Предприниматель года - 2024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котором приняли участие 66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23.05.2025 торжественная церемония награждения муниципальными наградами к Дню российского предпринимательства, в которой приняли участие 40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хозяйствующих субъектов;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26.05.2025 встреча главы города с победителями городского конкурса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Предприниматель года - 2024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которой приняли участие 9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02.06.2025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Идеатон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рамках Всероссийского проекта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Цифровая 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тему: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Будущее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цифровизации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как утолить кадровый голод?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котором приняли участие 2 субъекта малого и среднего предпринимательства в качестве экспертов;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04.06.2025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Подача заявки на получение субсидии через Портал мер финансовой поддержки. Типичные ошибки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котором приняли участие 17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24.06.2025 фестиваль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БодроФЕСТ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котором приняли участие 47 субъектов малого и среднего предпринимательства и 20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граждан.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ффективност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деятельности по предупреждению  и противодействию коррупции в подведомственных учреждениях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был рассмотрен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департаменте по социальной политике администрации города Нижневартовска 23 июня 2025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3 подведомственных учреждениях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организованы собрания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трудовых 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ективов с участием социальных партнеров в лице руководителей некоммерческих организаций,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приглашением сотрудников УМВД России по г. Нижневартовску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редложения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снижению федеральных барьеров при предоставлении государственных и муниципальных услуг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направлены 26.03.2025 в адрес департамента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совещаниях с руководителями организаций, подведомственных департаменту образования администрации города, рассматривались вопросы о порядке предоставления сведений о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ах, расходах, об имуществе и обязательствах имущественного характера руководителями образовательных организаций за 1 полугодие 2025 года, о запрете на получение подарков в связи с проведением праздничных мероприятий, посвященных последнему звонку и другие.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Руководителями организаций, подведомственных департа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енту образования администрации города, для своих сотрудников систематически проводятся мероприятия (совещания, тематические встречи) по вопросам противодействия коррупции при участии представителей прокуратуры города и УМВД России по городу Нижневартовску.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и проведение обучающих и информационно-разъяснительных мероприятий антикоррупционной направленности: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 муниципальными служащими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 руководителями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Доведение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муниципальным служащим администрации города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руководителям муниципальных организаций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методических материалов по вопросам противодействия коррупции, разработанных Мин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истерством труда и социальной защиты Российской Федерации, с целью: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формирования понимания недопустимости принятия подарков от организаций и частных лиц в связи с исполнением должностных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обязанностей, вне зависимости от стоимости этих подарков и поводов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дарения;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осознания мер ответственности за несоблюдение ограничений и запретов, требований о предотвращении или об урегулировании конфликта интересов и обязанностей, установленных в целях противодействия коррупции;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понимания рисков нанесения ущерба репут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ации органа власти при получении подарков от заинтересованных физических и юридических лиц вне зависимости от стоимости этих подарков и поводов дарения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(с привлечением представителей юридического управления администрации города,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департамента жилищно-коммунального хозяйства администрации города,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департамента по социальной политике администрации города,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департамента образования администрации города)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Ежеквартально вопросы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рганизаци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информационно-разъяснительных мероприятий 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нтикоррупционной направленности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 муниципальными служащими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рамках подведомственных учреждений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рассматриваются на аппаратных совещаниях при заместителях главы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униципальным служащим администрации города и руководителям 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доведены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методически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 вопросам противодействия коррупции, разработанны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Министерством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оказания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консультативной и методической помощи в реализации требований федеральных законов, нормативных правовых актов Президента Российской Федерации, Правительства Российской Федерации и Ханты-Мансийского автономного округа – Юг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 о противодействии коррупции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адрес учреждений направлены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атериалы с основными направлениями деятельности по предупреждению коррупции в государственных учреждениях, предприятиях автономного округа, а также автономных некоммерческих организаций, учредителем которых является  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Югра, типовые формы локальных правовых актов, подготовленные Департаментом государственной гражданской службы, кадровой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итики и профилактики коррупции ХМАО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Югры (далее – Департамент, автономный округ).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жеквартально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выявляются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анализируются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типичные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ошибки учреждений при осуществлении закупок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Приказом Департамента государственного заказа ХМАО – Югры от 19.01.2024 №2 и методическими рекомендациями об осуществлении текущих и опережающих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закупок, проверки Счетной палаты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собраний трудовых 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ективов, проведенных в 1 квартале текущего года освещены требования законодательства 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предотвращени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конфликта интересов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исполнении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работниками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трудовых обязанностей.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марте 2025 года состоялось совместное совещание-семинар с начальником КРУ администрации города на предмет анализа выявленных нарушений и мероприятий по предотвращению правонарушений по итогам проверок в учреждениях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Муниципальные служащие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ознакомлены с требованиями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Кодекса этики и служебного поведения муниципальных служащих 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Работниками управления по вопросам муниципальной службы и кадров администрации города в отчетный период проведены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 и информационно-разъяснительные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антикоррупционной направленности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работы по проведению среди обучающихся 9 - 11 классов муниципальных общеобразовательных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уроков правовой грамотности, нап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равленных на развитие правосознания, осведомленности о характере, способах и пределах осуществления и защиты гражданских прав, охраняемых законом интересов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постоянно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муниципальные общеобразовательные органи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1 полугодии 2025 года в рамках реал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изации программ с обучающимися с 9 по 11 классы организовано проведение информационно-разъяснительной, культурно-просветительской работы по формированию законопослушного поведения у несовершеннолетних, в том числе развитию правосознания, осведомленности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характере, способах и пределах осуществления и защиты гражданских прав, охраняемых законом интересов.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проведены в форме тематических классных часов, лекций, разъяснитель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ных бесед, конкурсов, диспутов, круглых столов, заседаний «Семейных клубов», комплексных инструктажей, путем раздачи информационно-разъяснительных материалов, демонстрации видеороликов, в том числе с привлечением представителей правоохранительных органов.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проведено более 6000 мероприятий, в том числе с привлечением специалистов других субъектов системы профилактики города. Охват составил более 37 000 обучающихся.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5.4.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проведения на регулярной основе в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антикоррупционной направленности (социальная реклама, плакаты,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видеоролики, кейсы, игры) и обучающих мероприятий с использованием материалов конкурсов, направленных на формирование антикоррупционного мировоззрения учащихся старших классов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муниципальных общеобразовательных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Во всех общеобразовательных организациях, подведомственных департаменту образования администрации города проведены конкурсы, направленные на формирование антикоррупционного мировоззрения учащихся старших классов с охватом более 6 000 человек.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распространения  доступных для восприятия информационных материалов, формирующих правовую грамотность и правосознание молодежи, в печатном, электронном, аудиовизуальном и ином виде, а также 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помощью средств массовой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по социальной политике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 отчетный период в средствах массовой информ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на официальном сайте органов местного самоуправления города Нижневартовска, распространялись, преимущественно, печатные информационные материалы. Организована запись видеокомментария представителя УМВД России по г.Нижневартовску по теме бытовой коррупции.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14 подведомственных учреждениях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 собрания трудовых коллективов (в 1кв. 2025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учреждений, 88% работников)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актуализированы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аты труда, выполнения работниками должностных обязанностей, соблюдения требований законодательства в сфере противодействия коррупции, в том числе по предотвращению конфликта интересов, о действующих в учреждениях Комиссиях по разрешению спорных вопросов и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предупреждению коррупции,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доведена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информация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о часах личных приемов руководителей, о возможности обращения  к должностным лицам, в том числе на сайте учреждения, регламенте получения обратной связи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официальных сайтах, информационных досках подведомственных учреждений,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актуализированы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доступные для восприятия информационные материалы, листовки формирующие правовую грамотность и правосознание работников.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подведомственных учреждениях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работники ознакомлены с локальными нормативными актами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вопросам антикоррупционной направленности.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информационных стендах размещен актуальный информационный 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Госпабликах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 размещается информация.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Среди обучающихся и их родителей (законных представителей) распространены доступные для восприятия информационные материалы по формированию правовой грамотности и правосознание молодежи.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Информация по ознакомлению детей и подростков с законодательством в отношении несовершеннолетних, памятки по безопасности и профилактике негативных проявлений размещены на информационных стендах и </w:t>
            </w: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сайтах образовательных организаций. Охват составил более 37 000 обучающихся и 42 000 родителей (законных представителей).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информирования старшеклассников по вопросам правовой направленности, раскрывающим современные подходы к противодействию коррупции, через рабочие программы общеобразовательных предметов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муниципальных общеобразовательных организаций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В образовательных организациях реализуются рабочие программы по общеобразовательным предметам «Обществознание</w:t>
            </w: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, «Право», «Экономика». Вопросы правовой направленности, раскрывающие современные подходы к противодействию коррупции, включены в данные программы и изучаются в течение учебного года с сентября по май. Охват составил более 4 700 обучающихся 9 – 11 классов.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Обеспечение включения вопросов антикоррупционной тематики в муниципальные олимпиады, интеллектуальные игры по обществознанию и праву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ascii="Times New Roman" w:hAnsi="Times New Roman" w:cs="Times New Roman"/>
                <w:sz w:val="22"/>
                <w:szCs w:val="22"/>
              </w:rPr>
              <w:t xml:space="preserve">Вопросы антикоррупционной тематики включены в муниципальные олимпиады, интеллектуальные игры по обществознанию и праву в образовательных организациях, подведомственных департаменту образования администрации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развития пр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актики использования площадок массового пребывания школьников, таких как летние оздоровительные и пришкольные лагеря, для проведения игровых мероприятий, направленных на воспитание честности, добросовестности, порядочности, ответственности и справедливости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муниципальных общеобразовательных организаций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 1 полугодии 2025 года на территории города организована работа 58 лагерей, с охватом более 6 000 детей.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Программы лагерей содержат мероприятия направленные на воспитание честности, добросовестности, порядочности, ответственности и справедливости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6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проведения правовой акции для молодежи города «Нет коррупции!»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 до 1 октября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общественных коммуникаций и молодёжной политики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0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Правовая акция будет проведена в установленные сроки.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Контроль за реализацией мероприятий по профилактике и предупреждению коррупционных правонарушений в муниципальных организациях и организациях, более 50% акций (долей) в ус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тавном капитале которых находится в муниципальной собственности города Нижневартовск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оценки деятельности  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организаций и организаций, более 50% акций (долей) в уставном капитале которых находится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муниципальной собственности города Нижневартовск по соблюдению антикоррупционного законодательства и результатов антикоррупционной работы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 не позднее 1 декабря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заместители главы города;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руководители структурных подразделений администрации 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орода, осуществляющих функции учредителей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Департаментом по социальной политике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как учредителем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течении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проводятся как плановые, так и внеплановые проверки финансово - хозяйственной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ости подведомственных учреждений, осуществляется ведомственный контроль за соблюдением трудового законодательства и иных нормативных правовых актов, содержащих нормы трудового права, ведомственный контроль в системе закупок, по организации профилактической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предупреждению коррупционных правонарушений.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внутреннего контроля по уставным направлениям деятельности анализируются и носят публичный характер.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1 полугодии 2025 года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в рамках протокольных поручений при заместителе главы города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проведены внутренние проверки кадровых служб 14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подведомственных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учреждений в целях выявления и недопущения возникновения личной заинтересованности при исполнении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работниками трудовых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по информации руководителей учреждений, нарушения не выявлены);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проведены проверки целевого использования бюджетных средств.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учредителя в сфере закупок товаров, работ, услуг для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беспечения деятельности подведомственных учреждений осуществляется на основании приказа департамента по социальной политике администрации города от 06.12.2024 №1085/42-П, которым утвержден график ведомственных проверок деятельности учреждений на 2025 год.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1 полугодии 2025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ведомственный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контроль финансово-хозяйственной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проверки: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в МБУ 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НКм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им. Т.Д. Шуваева" с 07.04.2025 по 11.04.2025;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в МАУДО г. Нижневартовска "Спортивная школа" с 23.06.2025 по 27.06.2025.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итогам проверок факты коррупционных правонарушений не установлены.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жеквартально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контроль за реализацией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планов мероприятий, принятых муниципальными учреждениями по профилактике и предупреждению коррупционных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текущий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опросы выполнения планов и текущих проверок департамента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надзорными и контрольно-ревизионными органами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структурных подразделений,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рассматриваются на аппаратном совещании при заместителе главы города, директоре департамента по социальной политике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 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рассматриваются вопросы исполнительской дисциплины в отношении обращений граждан, поступающих через инцидент менеджмент, обеспечение предоставления качественной информации, своевременной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дготовки ответов по обращениям.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жеквартально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департаменте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проводятся рабочие отраслевые совещания, специалистов отделов департамента, руководител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подведомственных муниципальных учреждений, на которых рассматриваются вопросы предупреждения коррупционных рисков и проявлений в учреждениях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учреждениях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ктуализированы локальные акты в соответствии с постановлением администрации города от 12.08.2016 №1188 (с измен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ениями) «Об утверждении типовых актов для организации деятельности по противодействию коррупции в муниципальных учреждениях города Нижневартовска, хозяйственных обществах, единственным учредителем (участником) которых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является администрация города»,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разработаны и утверждены документы по предупреждению коррупционных проявлений, Конфликта интересов, Положения о комиссии по рассмотрению обращений о конфликте интересов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локальными актами, принятыми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размещенными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свободном доступе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сайт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работники коллективов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ознакомлены под роспись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собраниях трудовых коллективов.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уководители учреждений, ответственные лица за организацию деятельности по противодействию коррупции, обучены и регулярно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проходят повышение квалификации.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жителями города, получателями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обратная связь посредством размещения в доступном для граждан месте специальных ящиков для обращений и размещением на сайтах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реждений – ссылки для обращений.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 осуществляется мониторинг оценки качества оказываемых услуг.</w:t>
            </w:r>
            <w:bookmarkStart w:id="0" w:name="undefined"/>
            <w:r>
              <w:rPr>
                <w:rFonts w:ascii="Times New Roman" w:hAnsi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приказом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ДЖКХ администрац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17.02.2025 №31/31-П в МКУ города Нижневартовска "Управление по делам гражданской обороны и чрезвычайным ситуациям" с 14.03.2025 по 20.03.2025 проведена оценка деятельности реализации антикоррупционного законодательства за 12 месяцев 2024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результатам проведения оценки деятельности реализации антикоррупционного законодательства директору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даны рекомендации.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приказом ДЖКХ администрации города от 17.02.2025 №32/31-П в МБУ "Управление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дорожному хозяйству и благоустройству города Нижневартовска" с 03.03.2025 по 14.03.2025 проведена оценка деятельности реализации антикоррупционного законодательства за 12 месяцев 2024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результатам проведения оценки деятельности реализации антикоррупционного законодательства директору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даны рекомендации.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целях принятия мер по предупреждению коррупции, а также профилактике коррупцио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нных проявлений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в МБУ "УЛПХ                                               г. Нижневартовска"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приказом по учреждению от 13.01.2025 №04-од утвержден план мероприятий по профилактике коррупционных и иных правонарушений на 2025 год (далее - план мероприятий).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Отчеты о выполнении плана мероприятий ежеквартально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срок  до 25 числа последнего месяца отчетного квартала предоставляются МБУ "УЛПХ г. Нижневартовска" в управление по природопользованию и экологии администрации города (за 1 квартал 2025 года письмо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18.03.2025 №УЛПХ-ИсхД-202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 2 квартал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года письм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24.06.2025 №УЛПХ-ИсхД-454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 исполнение плана мероприятий в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2025 года: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приказом МБУ "УЛПХ г. Нижневартовска" от 09.01.2025 №01-од утверждена карта коррупционных рисков и перечень должностей, связанных с высоким антикоррупционным риском;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проводился анализ действующих в Учреждении локальных нормативно-правовых актов, направленных на реализацию 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предупреждению коррупции, на предмет соответствия положения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 действующего законодательства. Приказом от 23.04.2025 №27-од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"О внесении изменений в локальные нормативные правовые акты МБУ "УЛПХ г. Нижневартовска" в сф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ере противодействия коррупции"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актуализированы приказы от 15.05.2020 №18-од "Об утверждении Положения об основных направлениях антикоррупционной деятельности", от 15.05.2020 №21-од "Об утверждении Положения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конфликте интересов работников";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обеспечивался контроль соблюдения работниками МБУ "УЛПХ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 этики и служебного поведения. Фактов возникновения конфликта интересов в 1 полугодии 2025 года не выявлено;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для работников МБУ "УЛПХ г. Нижнев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артовска" проведены тематические учебы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тему: "Содержание конфликта интересов                              и личная заинтересованность при исполнении должностных обязанностей" (18.03.2025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); на тему: "Меры по профилактике коррупции" (11.06.2025)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деятельности МБУ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"УЛПХ г. Нижневартовска"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по соблюдению антикоррупционного законодательства и результатов антикоррупционной работы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будет проведена учредителем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Управлением по природопользованию и экологии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не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позднее 01.12.2025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 соответствии с приказом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  <w:lang w:eastAsia="ru-RU"/>
              </w:rPr>
              <w:t xml:space="preserve">департамента образования администрации города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от 21.04.2025 №34-П-367 «О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выполнении Плана мероприятий администрации города по профилактике и предупреждению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оррупционных правонарушений на 2025-2028 годы в части полномочий департамента образования администрации города» осуществляется оценка результатов антикоррупционной деятельности в организациях, подведомственных департаменту образования администрации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Во всех подведомственных образовательных организациях ежегодно утверждаются комплексные планы мероприятий по противодействию коррупции, в том числе «бытовой коррупции».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Ежеквартально проводится анализ обращений граждан, содержащих сведения о проявлении фактов коррупции и злоупотреблениях должностными полномочиями руководителем образовательной организации, работниками, и своевременное принятие соответствующих мер.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До сведения работников образовательных организаций и членов родительских комитетов доводится информация по недопущению поведения, которое может восприниматься окружающими как обещание или предложение дачи взятки, либо как согласие принять взятку.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На официальных сайтах образовательных организаций, в разделе «Платные услуги», размещены документы о порядке оказания платных образовательных услуг, кроме того имеется раздел по антикоррупционной деятельности в образовательной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  <w:lang w:eastAsia="ru-RU"/>
              </w:rPr>
              <w:t xml:space="preserve">В хозяйственных обществах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осуществлены следующие мероприятия: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– разработаны и утверждены локальные акты по противодействию коррупции в соответствии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 Федеральным законом от 25.12.2008 №273-ФЗ «О противодействии коррупции», 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постановлением администрации города от 12.08.2016 №1188 «Об утверждении типовых а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ктов для организации деятельности по противодействию коррупции в муниципальных учреждениях города Нижневартовска, хозяйственных обществах, единственным учредителем (участником) которых является администрация города»,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постановлением администрации города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16.07.2024 №585 «Об утверждении Порядка уведомления руководителями муниципальных учреждений города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Нижневартовска, хозяйственных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– доведена информация до руководителей хозяйственных обществ об обязанности уведомлять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 (постановление администрации города от 16.07.2024 №585);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– в каждом хозяйственном обществе создана комиссия по противодействию коррупции;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– проводится оценка коррупционных рисков, по результатам которой составляется карта коррупционных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рисков и меры по их минимизации.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Внесение в уставы обществ, более 50% акций (долей) в уставном капитале которых находится в муниципальной собственности города Нижневартовска (далее - общества),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оложений, обязывающих директоров обществ получать одобрение у совета директоров обществ на совершение сделок по передаче ими в аренду или иное срочное или бессрочное пользование недвижимого имущества на срок более 1 (одного) года независимо от суммы сделки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20.12.2025;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20.12.2026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6" w:type="dxa"/>
            <w:vMerge w:val="restart"/>
            <w:textDirection w:val="lrTb"/>
            <w:noWrap w:val="false"/>
          </w:tcPr>
          <w:p>
            <w:pPr>
              <w:pStyle w:val="990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На отчетную дату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департамент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ом внесены в уставы АО "НПАТП", АО "КПСУ" положения, обязывающие директоров обществ получать одобрение у совета директоров обществ на совершение сделок по передаче ими в аренду или иное срочное или бессрочное пользование недвижимого имущества на срок более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1 (одного) года независимо от суммы сделки.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highlight w:val="non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6840" w:h="11906" w:orient="landscape"/>
      <w:pgMar w:top="709" w:right="851" w:bottom="1134" w:left="1701" w:header="709" w:footer="709" w:gutter="0"/>
      <w:pgNumType w:start="3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61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f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39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33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8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80" w:hanging="360"/>
        <w:tabs>
          <w:tab w:val="num" w:pos="2280" w:leader="none"/>
        </w:tabs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3000" w:hanging="360"/>
        <w:tabs>
          <w:tab w:val="num" w:pos="30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720" w:hanging="180"/>
        <w:tabs>
          <w:tab w:val="num" w:pos="37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440" w:hanging="360"/>
        <w:tabs>
          <w:tab w:val="num" w:pos="44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160" w:hanging="360"/>
        <w:tabs>
          <w:tab w:val="num" w:pos="51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880" w:hanging="180"/>
        <w:tabs>
          <w:tab w:val="num" w:pos="58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600" w:hanging="360"/>
        <w:tabs>
          <w:tab w:val="num" w:pos="66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320" w:hanging="360"/>
        <w:tabs>
          <w:tab w:val="num" w:pos="73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040" w:hanging="180"/>
        <w:tabs>
          <w:tab w:val="num" w:pos="8040" w:leader="none"/>
        </w:tabs>
      </w:pPr>
    </w:lvl>
  </w:abstractNum>
  <w:abstractNum w:abstractNumId="4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2013"/>
      <w:numFmt w:val="decimal"/>
      <w:isLgl w:val="false"/>
      <w:suff w:val="tab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5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66"/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66"/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66"/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66"/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66"/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66"/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66"/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66"/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66"/>
        <w:ind w:left="7252" w:hanging="360"/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6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6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6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6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6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6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6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6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66"/>
        <w:ind w:left="7189" w:hanging="360"/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6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6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6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6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6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6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6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6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66"/>
        <w:ind w:left="7189" w:hanging="360"/>
      </w:pPr>
      <w:rPr>
        <w:rFonts w:ascii="Wingdings" w:hAnsi="Wingdings"/>
      </w:rPr>
    </w:lvl>
  </w:abstractNum>
  <w:num w:numId="1">
    <w:abstractNumId w:val="3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2"/>
  </w:num>
  <w:num w:numId="14">
    <w:abstractNumId w:val="23"/>
  </w:num>
  <w:num w:numId="15">
    <w:abstractNumId w:val="14"/>
  </w:num>
  <w:num w:numId="16">
    <w:abstractNumId w:val="36"/>
  </w:num>
  <w:num w:numId="17">
    <w:abstractNumId w:val="20"/>
  </w:num>
  <w:num w:numId="18">
    <w:abstractNumId w:val="18"/>
  </w:num>
  <w:num w:numId="19">
    <w:abstractNumId w:val="11"/>
  </w:num>
  <w:num w:numId="20">
    <w:abstractNumId w:val="40"/>
  </w:num>
  <w:num w:numId="21">
    <w:abstractNumId w:val="35"/>
  </w:num>
  <w:num w:numId="22">
    <w:abstractNumId w:val="33"/>
  </w:num>
  <w:num w:numId="23">
    <w:abstractNumId w:val="42"/>
  </w:num>
  <w:num w:numId="24">
    <w:abstractNumId w:val="17"/>
  </w:num>
  <w:num w:numId="25">
    <w:abstractNumId w:val="30"/>
  </w:num>
  <w:num w:numId="26">
    <w:abstractNumId w:val="48"/>
  </w:num>
  <w:num w:numId="27">
    <w:abstractNumId w:val="41"/>
  </w:num>
  <w:num w:numId="28">
    <w:abstractNumId w:val="44"/>
  </w:num>
  <w:num w:numId="29">
    <w:abstractNumId w:val="37"/>
  </w:num>
  <w:num w:numId="30">
    <w:abstractNumId w:val="45"/>
  </w:num>
  <w:num w:numId="31">
    <w:abstractNumId w:val="31"/>
  </w:num>
  <w:num w:numId="32">
    <w:abstractNumId w:val="13"/>
  </w:num>
  <w:num w:numId="33">
    <w:abstractNumId w:val="28"/>
  </w:num>
  <w:num w:numId="34">
    <w:abstractNumId w:val="15"/>
  </w:num>
  <w:num w:numId="35">
    <w:abstractNumId w:val="32"/>
  </w:num>
  <w:num w:numId="36">
    <w:abstractNumId w:val="27"/>
  </w:num>
  <w:num w:numId="37">
    <w:abstractNumId w:val="29"/>
  </w:num>
  <w:num w:numId="38">
    <w:abstractNumId w:val="12"/>
  </w:num>
  <w:num w:numId="39">
    <w:abstractNumId w:val="10"/>
  </w:num>
  <w:num w:numId="40">
    <w:abstractNumId w:val="46"/>
  </w:num>
  <w:num w:numId="41">
    <w:abstractNumId w:val="19"/>
  </w:num>
  <w:num w:numId="42">
    <w:abstractNumId w:val="38"/>
  </w:num>
  <w:num w:numId="43">
    <w:abstractNumId w:val="43"/>
  </w:num>
  <w:num w:numId="44">
    <w:abstractNumId w:val="34"/>
  </w:num>
  <w:num w:numId="45">
    <w:abstractNumId w:val="26"/>
  </w:num>
  <w:num w:numId="46">
    <w:abstractNumId w:val="47"/>
  </w:num>
  <w:num w:numId="47">
    <w:abstractNumId w:val="25"/>
  </w:num>
  <w:num w:numId="48">
    <w:abstractNumId w:val="24"/>
  </w:num>
  <w:num w:numId="49">
    <w:abstractNumId w:val="21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6">
    <w:name w:val="Heading 1 Char"/>
    <w:basedOn w:val="969"/>
    <w:link w:val="967"/>
    <w:uiPriority w:val="9"/>
    <w:rPr>
      <w:rFonts w:ascii="Arial" w:hAnsi="Arial" w:eastAsia="Arial" w:cs="Arial"/>
      <w:sz w:val="40"/>
      <w:szCs w:val="40"/>
    </w:rPr>
  </w:style>
  <w:style w:type="paragraph" w:styleId="797">
    <w:name w:val="Heading 2"/>
    <w:basedOn w:val="966"/>
    <w:next w:val="966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8">
    <w:name w:val="Heading 2 Char"/>
    <w:basedOn w:val="969"/>
    <w:link w:val="797"/>
    <w:uiPriority w:val="9"/>
    <w:rPr>
      <w:rFonts w:ascii="Arial" w:hAnsi="Arial" w:eastAsia="Arial" w:cs="Arial"/>
      <w:sz w:val="34"/>
    </w:rPr>
  </w:style>
  <w:style w:type="character" w:styleId="799">
    <w:name w:val="Heading 3 Char"/>
    <w:basedOn w:val="969"/>
    <w:link w:val="968"/>
    <w:uiPriority w:val="9"/>
    <w:rPr>
      <w:rFonts w:ascii="Arial" w:hAnsi="Arial" w:eastAsia="Arial" w:cs="Arial"/>
      <w:sz w:val="30"/>
      <w:szCs w:val="30"/>
    </w:rPr>
  </w:style>
  <w:style w:type="paragraph" w:styleId="800">
    <w:name w:val="Heading 4"/>
    <w:basedOn w:val="966"/>
    <w:next w:val="966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1">
    <w:name w:val="Heading 4 Char"/>
    <w:basedOn w:val="969"/>
    <w:link w:val="800"/>
    <w:uiPriority w:val="9"/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966"/>
    <w:next w:val="966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3">
    <w:name w:val="Heading 5 Char"/>
    <w:basedOn w:val="969"/>
    <w:link w:val="802"/>
    <w:uiPriority w:val="9"/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966"/>
    <w:next w:val="966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5">
    <w:name w:val="Heading 6 Char"/>
    <w:basedOn w:val="969"/>
    <w:link w:val="804"/>
    <w:uiPriority w:val="9"/>
    <w:rPr>
      <w:rFonts w:ascii="Arial" w:hAnsi="Arial" w:eastAsia="Arial" w:cs="Arial"/>
      <w:b/>
      <w:bCs/>
      <w:sz w:val="22"/>
      <w:szCs w:val="22"/>
    </w:rPr>
  </w:style>
  <w:style w:type="paragraph" w:styleId="806">
    <w:name w:val="Heading 7"/>
    <w:basedOn w:val="966"/>
    <w:next w:val="966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Heading 7 Char"/>
    <w:basedOn w:val="969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966"/>
    <w:next w:val="966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9">
    <w:name w:val="Heading 8 Char"/>
    <w:basedOn w:val="969"/>
    <w:link w:val="808"/>
    <w:uiPriority w:val="9"/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966"/>
    <w:next w:val="966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>
    <w:name w:val="Heading 9 Char"/>
    <w:basedOn w:val="969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Title"/>
    <w:basedOn w:val="966"/>
    <w:next w:val="966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>
    <w:name w:val="Title Char"/>
    <w:basedOn w:val="969"/>
    <w:link w:val="812"/>
    <w:uiPriority w:val="10"/>
    <w:rPr>
      <w:sz w:val="48"/>
      <w:szCs w:val="48"/>
    </w:rPr>
  </w:style>
  <w:style w:type="paragraph" w:styleId="814">
    <w:name w:val="Subtitle"/>
    <w:basedOn w:val="966"/>
    <w:next w:val="966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>
    <w:name w:val="Subtitle Char"/>
    <w:basedOn w:val="969"/>
    <w:link w:val="814"/>
    <w:uiPriority w:val="11"/>
    <w:rPr>
      <w:sz w:val="24"/>
      <w:szCs w:val="24"/>
    </w:rPr>
  </w:style>
  <w:style w:type="paragraph" w:styleId="816">
    <w:name w:val="Quote"/>
    <w:basedOn w:val="966"/>
    <w:next w:val="966"/>
    <w:link w:val="817"/>
    <w:uiPriority w:val="29"/>
    <w:qFormat/>
    <w:pPr>
      <w:ind w:left="720" w:right="720"/>
    </w:pPr>
    <w:rPr>
      <w:i/>
    </w:rPr>
  </w:style>
  <w:style w:type="character" w:styleId="817">
    <w:name w:val="Quote Char"/>
    <w:link w:val="816"/>
    <w:uiPriority w:val="29"/>
    <w:rPr>
      <w:i/>
    </w:rPr>
  </w:style>
  <w:style w:type="paragraph" w:styleId="818">
    <w:name w:val="Intense Quote"/>
    <w:basedOn w:val="966"/>
    <w:next w:val="966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>
    <w:name w:val="Intense Quote Char"/>
    <w:link w:val="818"/>
    <w:uiPriority w:val="30"/>
    <w:rPr>
      <w:i/>
    </w:rPr>
  </w:style>
  <w:style w:type="character" w:styleId="820">
    <w:name w:val="Header Char"/>
    <w:basedOn w:val="969"/>
    <w:link w:val="975"/>
    <w:uiPriority w:val="99"/>
  </w:style>
  <w:style w:type="character" w:styleId="821">
    <w:name w:val="Footer Char"/>
    <w:basedOn w:val="969"/>
    <w:link w:val="977"/>
    <w:uiPriority w:val="99"/>
  </w:style>
  <w:style w:type="paragraph" w:styleId="822">
    <w:name w:val="Caption"/>
    <w:basedOn w:val="966"/>
    <w:next w:val="9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>
    <w:name w:val="Caption Char"/>
    <w:basedOn w:val="822"/>
    <w:link w:val="977"/>
    <w:uiPriority w:val="99"/>
  </w:style>
  <w:style w:type="table" w:styleId="824">
    <w:name w:val="Table Grid Light"/>
    <w:basedOn w:val="9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basedOn w:val="9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9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3">
    <w:name w:val="Grid Table 4 - Accent 2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Grid Table 4 - Accent 3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5">
    <w:name w:val="Grid Table 4 - Accent 4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Grid Table 4 - Accent 5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basedOn w:val="9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6">
    <w:name w:val="Grid Table 6 Colorful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7">
    <w:name w:val="Grid Table 6 Colorful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8">
    <w:name w:val="Grid Table 6 Colorful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9">
    <w:name w:val="Grid Table 6 Colorful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0">
    <w:name w:val="Grid Table 6 Colorful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6 Colorful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7 Colorful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7">
    <w:name w:val="List Table 2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8">
    <w:name w:val="List Table 2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9">
    <w:name w:val="List Table 2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0">
    <w:name w:val="List Table 2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1">
    <w:name w:val="List Table 2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2">
    <w:name w:val="List Table 2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6 Colorful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5">
    <w:name w:val="List Table 6 Colorful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7">
    <w:name w:val="List Table 6 Colorful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8">
    <w:name w:val="List Table 6 Colorful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9">
    <w:name w:val="List Table 6 Colorful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0">
    <w:name w:val="List Table 6 Colorful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1">
    <w:name w:val="List Table 7 Colorful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2">
    <w:name w:val="List Table 7 Colorful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3">
    <w:name w:val="List Table 7 Colorful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4">
    <w:name w:val="List Table 7 Colorful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5">
    <w:name w:val="List Table 7 Colorful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6">
    <w:name w:val="List Table 7 Colorful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7">
    <w:name w:val="List Table 7 Colorful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8">
    <w:name w:val="Lined - Accent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Lined - Accent 1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0">
    <w:name w:val="Lined - Accent 2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Lined - Accent 3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Lined - Accent 4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Lined - Accent 5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4">
    <w:name w:val="Lined - Accent 6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 &amp; Lined - Accent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Bordered &amp; Lined - Accent 1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7">
    <w:name w:val="Bordered &amp; Lined - Accent 2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8">
    <w:name w:val="Bordered &amp; Lined - Accent 3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9">
    <w:name w:val="Bordered &amp; Lined - Accent 4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0">
    <w:name w:val="Bordered &amp; Lined - Accent 5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1">
    <w:name w:val="Bordered &amp; Lined - Accent 6"/>
    <w:basedOn w:val="9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2">
    <w:name w:val="Bordered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3">
    <w:name w:val="Bordered - Accent 1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5">
    <w:name w:val="Bordered - Accent 3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6">
    <w:name w:val="Bordered - Accent 4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7">
    <w:name w:val="Bordered - Accent 5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8">
    <w:name w:val="Bordered - Accent 6"/>
    <w:basedOn w:val="9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9">
    <w:name w:val="footnote text"/>
    <w:basedOn w:val="966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>
    <w:name w:val="Footnote Text Char"/>
    <w:link w:val="949"/>
    <w:uiPriority w:val="99"/>
    <w:rPr>
      <w:sz w:val="18"/>
    </w:rPr>
  </w:style>
  <w:style w:type="character" w:styleId="951">
    <w:name w:val="footnote reference"/>
    <w:basedOn w:val="969"/>
    <w:uiPriority w:val="99"/>
    <w:unhideWhenUsed/>
    <w:rPr>
      <w:vertAlign w:val="superscript"/>
    </w:rPr>
  </w:style>
  <w:style w:type="paragraph" w:styleId="952">
    <w:name w:val="endnote text"/>
    <w:basedOn w:val="966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>
    <w:name w:val="Endnote Text Char"/>
    <w:link w:val="952"/>
    <w:uiPriority w:val="99"/>
    <w:rPr>
      <w:sz w:val="20"/>
    </w:rPr>
  </w:style>
  <w:style w:type="character" w:styleId="954">
    <w:name w:val="endnote reference"/>
    <w:basedOn w:val="969"/>
    <w:uiPriority w:val="99"/>
    <w:semiHidden/>
    <w:unhideWhenUsed/>
    <w:rPr>
      <w:vertAlign w:val="superscript"/>
    </w:rPr>
  </w:style>
  <w:style w:type="paragraph" w:styleId="955">
    <w:name w:val="toc 1"/>
    <w:basedOn w:val="966"/>
    <w:next w:val="966"/>
    <w:uiPriority w:val="39"/>
    <w:unhideWhenUsed/>
    <w:pPr>
      <w:ind w:left="0" w:right="0" w:firstLine="0"/>
      <w:spacing w:after="57"/>
    </w:pPr>
  </w:style>
  <w:style w:type="paragraph" w:styleId="956">
    <w:name w:val="toc 2"/>
    <w:basedOn w:val="966"/>
    <w:next w:val="966"/>
    <w:uiPriority w:val="39"/>
    <w:unhideWhenUsed/>
    <w:pPr>
      <w:ind w:left="283" w:right="0" w:firstLine="0"/>
      <w:spacing w:after="57"/>
    </w:pPr>
  </w:style>
  <w:style w:type="paragraph" w:styleId="957">
    <w:name w:val="toc 3"/>
    <w:basedOn w:val="966"/>
    <w:next w:val="966"/>
    <w:uiPriority w:val="39"/>
    <w:unhideWhenUsed/>
    <w:pPr>
      <w:ind w:left="567" w:right="0" w:firstLine="0"/>
      <w:spacing w:after="57"/>
    </w:pPr>
  </w:style>
  <w:style w:type="paragraph" w:styleId="958">
    <w:name w:val="toc 4"/>
    <w:basedOn w:val="966"/>
    <w:next w:val="966"/>
    <w:uiPriority w:val="39"/>
    <w:unhideWhenUsed/>
    <w:pPr>
      <w:ind w:left="850" w:right="0" w:firstLine="0"/>
      <w:spacing w:after="57"/>
    </w:pPr>
  </w:style>
  <w:style w:type="paragraph" w:styleId="959">
    <w:name w:val="toc 5"/>
    <w:basedOn w:val="966"/>
    <w:next w:val="966"/>
    <w:uiPriority w:val="39"/>
    <w:unhideWhenUsed/>
    <w:pPr>
      <w:ind w:left="1134" w:right="0" w:firstLine="0"/>
      <w:spacing w:after="57"/>
    </w:pPr>
  </w:style>
  <w:style w:type="paragraph" w:styleId="960">
    <w:name w:val="toc 6"/>
    <w:basedOn w:val="966"/>
    <w:next w:val="966"/>
    <w:uiPriority w:val="39"/>
    <w:unhideWhenUsed/>
    <w:pPr>
      <w:ind w:left="1417" w:right="0" w:firstLine="0"/>
      <w:spacing w:after="57"/>
    </w:pPr>
  </w:style>
  <w:style w:type="paragraph" w:styleId="961">
    <w:name w:val="toc 7"/>
    <w:basedOn w:val="966"/>
    <w:next w:val="966"/>
    <w:uiPriority w:val="39"/>
    <w:unhideWhenUsed/>
    <w:pPr>
      <w:ind w:left="1701" w:right="0" w:firstLine="0"/>
      <w:spacing w:after="57"/>
    </w:pPr>
  </w:style>
  <w:style w:type="paragraph" w:styleId="962">
    <w:name w:val="toc 8"/>
    <w:basedOn w:val="966"/>
    <w:next w:val="966"/>
    <w:uiPriority w:val="39"/>
    <w:unhideWhenUsed/>
    <w:pPr>
      <w:ind w:left="1984" w:right="0" w:firstLine="0"/>
      <w:spacing w:after="57"/>
    </w:pPr>
  </w:style>
  <w:style w:type="paragraph" w:styleId="963">
    <w:name w:val="toc 9"/>
    <w:basedOn w:val="966"/>
    <w:next w:val="966"/>
    <w:uiPriority w:val="39"/>
    <w:unhideWhenUsed/>
    <w:pPr>
      <w:ind w:left="2268" w:right="0" w:firstLine="0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966"/>
    <w:next w:val="966"/>
    <w:uiPriority w:val="99"/>
    <w:unhideWhenUsed/>
    <w:pPr>
      <w:spacing w:after="0" w:afterAutospacing="0"/>
    </w:pPr>
  </w:style>
  <w:style w:type="paragraph" w:styleId="9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67">
    <w:name w:val="Heading 1"/>
    <w:basedOn w:val="966"/>
    <w:next w:val="966"/>
    <w:link w:val="972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4"/>
    </w:rPr>
  </w:style>
  <w:style w:type="paragraph" w:styleId="968">
    <w:name w:val="Heading 3"/>
    <w:basedOn w:val="966"/>
    <w:next w:val="966"/>
    <w:link w:val="1012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969" w:default="1">
    <w:name w:val="Default Paragraph Font"/>
    <w:uiPriority w:val="1"/>
    <w:semiHidden/>
    <w:unhideWhenUsed/>
  </w:style>
  <w:style w:type="table" w:styleId="9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1" w:default="1">
    <w:name w:val="No List"/>
    <w:uiPriority w:val="99"/>
    <w:semiHidden/>
    <w:unhideWhenUsed/>
  </w:style>
  <w:style w:type="character" w:styleId="972" w:customStyle="1">
    <w:name w:val="Заголовок 1 Знак"/>
    <w:link w:val="967"/>
    <w:rPr>
      <w:rFonts w:ascii="Times New Roman" w:hAnsi="Times New Roman" w:eastAsia="Times New Roman"/>
      <w:sz w:val="28"/>
      <w:szCs w:val="24"/>
    </w:rPr>
  </w:style>
  <w:style w:type="paragraph" w:styleId="973">
    <w:name w:val="List Paragraph"/>
    <w:basedOn w:val="966"/>
    <w:uiPriority w:val="34"/>
    <w:qFormat/>
    <w:pPr>
      <w:contextualSpacing/>
      <w:ind w:left="720"/>
    </w:pPr>
  </w:style>
  <w:style w:type="character" w:styleId="974">
    <w:name w:val="Hyperlink"/>
    <w:unhideWhenUsed/>
    <w:rPr>
      <w:color w:val="0000ff"/>
      <w:u w:val="single"/>
    </w:rPr>
  </w:style>
  <w:style w:type="paragraph" w:styleId="975">
    <w:name w:val="Header"/>
    <w:basedOn w:val="966"/>
    <w:link w:val="9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6" w:customStyle="1">
    <w:name w:val="Верхний колонтитул Знак"/>
    <w:basedOn w:val="969"/>
    <w:link w:val="975"/>
    <w:uiPriority w:val="99"/>
  </w:style>
  <w:style w:type="paragraph" w:styleId="977">
    <w:name w:val="Footer"/>
    <w:basedOn w:val="966"/>
    <w:link w:val="9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8" w:customStyle="1">
    <w:name w:val="Нижний колонтитул Знак"/>
    <w:basedOn w:val="969"/>
    <w:link w:val="977"/>
    <w:uiPriority w:val="99"/>
  </w:style>
  <w:style w:type="paragraph" w:styleId="979" w:customStyle="1">
    <w:name w:val="ConsPlusNormal"/>
    <w:link w:val="1011"/>
    <w:pPr>
      <w:ind w:firstLine="720"/>
      <w:widowControl w:val="off"/>
    </w:pPr>
    <w:rPr>
      <w:rFonts w:ascii="Arial" w:hAnsi="Arial" w:eastAsia="Times New Roman" w:cs="Arial"/>
    </w:rPr>
  </w:style>
  <w:style w:type="paragraph" w:styleId="980" w:customStyle="1">
    <w:name w:val="Heading"/>
    <w:rPr>
      <w:rFonts w:ascii="Arial Unicode MS" w:hAnsi="Times New Roman" w:eastAsia="Arial Unicode MS" w:cs="Arial Unicode MS"/>
      <w:sz w:val="28"/>
      <w:szCs w:val="28"/>
      <w:lang w:eastAsia="en-US"/>
    </w:rPr>
  </w:style>
  <w:style w:type="paragraph" w:styleId="981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982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983" w:customStyle="1">
    <w:name w:val="Абзац списка1"/>
    <w:basedOn w:val="966"/>
    <w:pPr>
      <w:ind w:left="708"/>
    </w:pPr>
    <w:rPr>
      <w:rFonts w:eastAsia="Times New Roman" w:cs="Calibri"/>
      <w:lang w:eastAsia="ru-RU"/>
    </w:rPr>
  </w:style>
  <w:style w:type="character" w:styleId="984">
    <w:name w:val="page number"/>
    <w:basedOn w:val="969"/>
  </w:style>
  <w:style w:type="character" w:styleId="985" w:customStyle="1">
    <w:name w:val="Текст выноски Знак"/>
    <w:link w:val="986"/>
    <w:semiHidden/>
    <w:rPr>
      <w:rFonts w:ascii="Tahoma" w:hAnsi="Tahoma" w:eastAsia="Times New Roman" w:cs="Tahoma"/>
      <w:sz w:val="16"/>
      <w:szCs w:val="16"/>
    </w:rPr>
  </w:style>
  <w:style w:type="paragraph" w:styleId="986">
    <w:name w:val="Balloon Text"/>
    <w:basedOn w:val="966"/>
    <w:link w:val="985"/>
    <w:semiHidden/>
    <w:rPr>
      <w:rFonts w:ascii="Tahoma" w:hAnsi="Tahoma" w:eastAsia="Times New Roman"/>
      <w:sz w:val="16"/>
      <w:szCs w:val="16"/>
    </w:rPr>
  </w:style>
  <w:style w:type="paragraph" w:styleId="987" w:customStyle="1">
    <w:name w:val="Знак"/>
    <w:basedOn w:val="96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988" w:customStyle="1">
    <w:name w:val="ConsPlusCell"/>
    <w:rPr>
      <w:rFonts w:ascii="Arial" w:hAnsi="Arial" w:cs="Arial"/>
    </w:rPr>
  </w:style>
  <w:style w:type="paragraph" w:styleId="989" w:customStyle="1">
    <w:name w:val="consplusnormal"/>
    <w:basedOn w:val="966"/>
    <w:pPr>
      <w:spacing w:after="0" w:line="240" w:lineRule="auto"/>
    </w:pPr>
    <w:rPr>
      <w:rFonts w:ascii="Tahoma" w:hAnsi="Tahoma" w:eastAsia="Times New Roman" w:cs="Tahoma"/>
      <w:color w:val="000000"/>
      <w:sz w:val="23"/>
      <w:szCs w:val="23"/>
      <w:lang w:eastAsia="ru-RU"/>
    </w:rPr>
  </w:style>
  <w:style w:type="paragraph" w:styleId="990">
    <w:name w:val="No Spacing"/>
    <w:link w:val="991"/>
    <w:uiPriority w:val="1"/>
    <w:qFormat/>
    <w:rPr>
      <w:rFonts w:ascii="Times New Roman" w:hAnsi="Times New Roman" w:eastAsia="Times New Roman"/>
      <w:sz w:val="24"/>
      <w:szCs w:val="24"/>
    </w:rPr>
  </w:style>
  <w:style w:type="character" w:styleId="991" w:customStyle="1">
    <w:name w:val="Без интервала Знак"/>
    <w:link w:val="990"/>
    <w:uiPriority w:val="1"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92">
    <w:name w:val="Body Text 2"/>
    <w:basedOn w:val="966"/>
    <w:link w:val="993"/>
    <w:pPr>
      <w:jc w:val="both"/>
      <w:spacing w:after="0" w:line="240" w:lineRule="auto"/>
    </w:pPr>
    <w:rPr>
      <w:rFonts w:ascii="Times New Roman" w:hAnsi="Times New Roman" w:eastAsia="Times New Roman"/>
      <w:sz w:val="28"/>
      <w:szCs w:val="24"/>
    </w:rPr>
  </w:style>
  <w:style w:type="character" w:styleId="993" w:customStyle="1">
    <w:name w:val="Основной текст 2 Знак"/>
    <w:link w:val="992"/>
    <w:rPr>
      <w:rFonts w:ascii="Times New Roman" w:hAnsi="Times New Roman" w:eastAsia="Times New Roman"/>
      <w:sz w:val="28"/>
      <w:szCs w:val="24"/>
    </w:rPr>
  </w:style>
  <w:style w:type="paragraph" w:styleId="994" w:customStyle="1">
    <w:name w:val="FR1"/>
    <w:pPr>
      <w:ind w:left="1080" w:right="1200"/>
      <w:jc w:val="center"/>
      <w:spacing w:line="300" w:lineRule="auto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995" w:customStyle="1">
    <w:name w:val="Название"/>
    <w:basedOn w:val="966"/>
    <w:link w:val="996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36"/>
      <w:szCs w:val="24"/>
    </w:rPr>
  </w:style>
  <w:style w:type="character" w:styleId="996" w:customStyle="1">
    <w:name w:val="Название Знак"/>
    <w:link w:val="995"/>
    <w:rPr>
      <w:rFonts w:ascii="Times New Roman" w:hAnsi="Times New Roman" w:eastAsia="Times New Roman"/>
      <w:b/>
      <w:bCs/>
      <w:sz w:val="36"/>
      <w:szCs w:val="24"/>
    </w:rPr>
  </w:style>
  <w:style w:type="paragraph" w:styleId="997" w:customStyle="1">
    <w:name w:val="Обычный1"/>
    <w:rPr>
      <w:rFonts w:ascii="Times New Roman" w:hAnsi="Times New Roman" w:eastAsia="Times New Roman"/>
      <w:sz w:val="24"/>
    </w:rPr>
  </w:style>
  <w:style w:type="table" w:styleId="998">
    <w:name w:val="Table Grid"/>
    <w:basedOn w:val="97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9" w:customStyle="1">
    <w:name w:val="apple-converted-space"/>
  </w:style>
  <w:style w:type="character" w:styleId="1000">
    <w:name w:val="Emphasis"/>
    <w:uiPriority w:val="20"/>
    <w:qFormat/>
    <w:rPr>
      <w:i/>
      <w:iCs/>
    </w:rPr>
  </w:style>
  <w:style w:type="character" w:styleId="1001">
    <w:name w:val="Strong"/>
    <w:uiPriority w:val="22"/>
    <w:qFormat/>
    <w:rPr>
      <w:b/>
      <w:bCs/>
    </w:rPr>
  </w:style>
  <w:style w:type="paragraph" w:styleId="1002">
    <w:name w:val="Body Text Indent"/>
    <w:basedOn w:val="966"/>
    <w:link w:val="1003"/>
    <w:uiPriority w:val="99"/>
    <w:unhideWhenUsed/>
    <w:pPr>
      <w:ind w:left="283"/>
      <w:spacing w:after="120"/>
    </w:pPr>
    <w:rPr>
      <w:rFonts w:eastAsia="Times New Roman"/>
      <w:lang w:eastAsia="ru-RU"/>
    </w:rPr>
  </w:style>
  <w:style w:type="character" w:styleId="1003" w:customStyle="1">
    <w:name w:val="Основной текст с отступом Знак"/>
    <w:link w:val="1002"/>
    <w:uiPriority w:val="99"/>
    <w:rPr>
      <w:rFonts w:eastAsia="Times New Roman"/>
      <w:sz w:val="22"/>
      <w:szCs w:val="22"/>
    </w:rPr>
  </w:style>
  <w:style w:type="paragraph" w:styleId="1004">
    <w:name w:val="Body Text Indent 3"/>
    <w:basedOn w:val="966"/>
    <w:link w:val="1005"/>
    <w:unhideWhenUsed/>
    <w:pPr>
      <w:ind w:left="283"/>
      <w:spacing w:after="120"/>
    </w:pPr>
    <w:rPr>
      <w:sz w:val="16"/>
      <w:szCs w:val="16"/>
    </w:rPr>
  </w:style>
  <w:style w:type="character" w:styleId="1005" w:customStyle="1">
    <w:name w:val="Основной текст с отступом 3 Знак"/>
    <w:link w:val="1004"/>
    <w:rPr>
      <w:sz w:val="16"/>
      <w:szCs w:val="16"/>
      <w:lang w:eastAsia="en-US"/>
    </w:rPr>
  </w:style>
  <w:style w:type="paragraph" w:styleId="1006" w:customStyle="1">
    <w:name w:val="Стиль1"/>
    <w:basedOn w:val="966"/>
    <w:pPr>
      <w:spacing w:after="0" w:line="288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007">
    <w:name w:val="Normal (Web)"/>
    <w:basedOn w:val="9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8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1009" w:customStyle="1">
    <w:name w:val="Font Style18"/>
    <w:rPr>
      <w:rFonts w:hint="default" w:ascii="Times New Roman" w:hAnsi="Times New Roman" w:cs="Times New Roman"/>
      <w:sz w:val="24"/>
      <w:szCs w:val="24"/>
    </w:rPr>
  </w:style>
  <w:style w:type="character" w:styleId="1010" w:customStyle="1">
    <w:name w:val="Гипертекстовая ссылка"/>
    <w:uiPriority w:val="99"/>
    <w:rPr>
      <w:rFonts w:cs="Times New Roman"/>
      <w:b w:val="0"/>
      <w:color w:val="106bbe"/>
    </w:rPr>
  </w:style>
  <w:style w:type="character" w:styleId="1011" w:customStyle="1">
    <w:name w:val="ConsPlusNormal Знак"/>
    <w:link w:val="979"/>
    <w:rPr>
      <w:rFonts w:ascii="Arial" w:hAnsi="Arial" w:eastAsia="Times New Roman" w:cs="Arial"/>
    </w:rPr>
  </w:style>
  <w:style w:type="character" w:styleId="1012" w:customStyle="1">
    <w:name w:val="Заголовок 3 Знак"/>
    <w:link w:val="968"/>
    <w:uiPriority w:val="9"/>
    <w:semiHidden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paragraph" w:styleId="1013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1014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5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1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017" w:customStyle="1">
    <w:name w:val="Гиперссылка"/>
    <w:unhideWhenUsed/>
    <w:rPr>
      <w:color w:val="0000ff"/>
      <w:u w:val="single"/>
    </w:rPr>
  </w:style>
  <w:style w:type="character" w:styleId="1018" w:customStyle="1">
    <w:name w:val="Выделение жирным"/>
    <w:qFormat/>
    <w:rPr>
      <w:b/>
      <w:bCs/>
    </w:rPr>
  </w:style>
  <w:style w:type="paragraph" w:styleId="1019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20" w:customStyle="1">
    <w:name w:val="Другое_"/>
    <w:rPr>
      <w:rFonts w:ascii="Times New Roman" w:hAnsi="Times New Roman" w:eastAsia="Times New Roman"/>
    </w:rPr>
  </w:style>
  <w:style w:type="paragraph" w:styleId="1021" w:customStyle="1">
    <w:name w:val="Body Text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regulation.admhmao.ru" TargetMode="External"/><Relationship Id="rId13" Type="http://schemas.openxmlformats.org/officeDocument/2006/relationships/hyperlink" Target="https://gazeta-varta.ru/ofitsialnaya-informatsiya/" TargetMode="External"/><Relationship Id="rId14" Type="http://schemas.openxmlformats.org/officeDocument/2006/relationships/hyperlink" Target="http://www.torgi.gov.ru" TargetMode="External"/><Relationship Id="rId15" Type="http://schemas.openxmlformats.org/officeDocument/2006/relationships/hyperlink" Target="http://www.torgi.gov.ru/" TargetMode="External"/><Relationship Id="rId16" Type="http://schemas.openxmlformats.org/officeDocument/2006/relationships/hyperlink" Target="http://www.n-vartovsk.ru/" TargetMode="External"/><Relationship Id="rId17" Type="http://schemas.openxmlformats.org/officeDocument/2006/relationships/hyperlink" Target="http://www.n-vartovsk.ru/tradingfloor/" TargetMode="External"/><Relationship Id="rId18" Type="http://schemas.openxmlformats.org/officeDocument/2006/relationships/hyperlink" Target="http://www.n-vartovsk.ru/tradingfloor/municipalproperty/" TargetMode="External"/><Relationship Id="rId19" Type="http://schemas.openxmlformats.org/officeDocument/2006/relationships/hyperlink" Target="http://www.n-vartovsk.ru/tradingfloor/municipalproperty/property/" TargetMode="External"/><Relationship Id="rId20" Type="http://schemas.openxmlformats.org/officeDocument/2006/relationships/hyperlink" Target="https://www.n-vartovsk.ru/public-hearin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993D-4334-4BC1-AA0B-D3DCFE14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Васильевна</dc:creator>
  <cp:keywords/>
  <cp:revision>127</cp:revision>
  <dcterms:created xsi:type="dcterms:W3CDTF">2023-10-18T04:42:00Z</dcterms:created>
  <dcterms:modified xsi:type="dcterms:W3CDTF">2025-07-16T11:15:47Z</dcterms:modified>
</cp:coreProperties>
</file>