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278" w:rsidRDefault="001C30B1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2FF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</w:t>
      </w:r>
      <w:r w:rsidRPr="003C62FF">
        <w:rPr>
          <w:rFonts w:ascii="Times New Roman" w:hAnsi="Times New Roman"/>
          <w:sz w:val="28"/>
          <w:szCs w:val="28"/>
        </w:rPr>
        <w:t>о</w:t>
      </w:r>
      <w:r w:rsidRPr="003C62FF">
        <w:rPr>
          <w:rFonts w:ascii="Times New Roman" w:hAnsi="Times New Roman"/>
          <w:sz w:val="28"/>
          <w:szCs w:val="28"/>
        </w:rPr>
        <w:t xml:space="preserve">рода Нижневартовска </w:t>
      </w:r>
      <w:r w:rsidRPr="003C62FF">
        <w:rPr>
          <w:rFonts w:ascii="Times New Roman" w:eastAsiaTheme="minorHAnsi" w:hAnsi="Times New Roman"/>
          <w:sz w:val="28"/>
          <w:szCs w:val="28"/>
        </w:rPr>
        <w:t>оценки регулирующего воздействия экспертизы муниц</w:t>
      </w:r>
      <w:r w:rsidRPr="003C62FF">
        <w:rPr>
          <w:rFonts w:ascii="Times New Roman" w:eastAsiaTheme="minorHAnsi" w:hAnsi="Times New Roman"/>
          <w:sz w:val="28"/>
          <w:szCs w:val="28"/>
        </w:rPr>
        <w:t>и</w:t>
      </w:r>
      <w:r w:rsidRPr="003C62FF">
        <w:rPr>
          <w:rFonts w:ascii="Times New Roman" w:eastAsiaTheme="minorHAnsi" w:hAnsi="Times New Roman"/>
          <w:sz w:val="28"/>
          <w:szCs w:val="28"/>
        </w:rPr>
        <w:t>пальных нормативных правовых актов, затрагивающих  вопросы осуществления предпр</w:t>
      </w:r>
      <w:r w:rsidRPr="003C62FF">
        <w:rPr>
          <w:rFonts w:ascii="Times New Roman" w:eastAsiaTheme="minorHAnsi" w:hAnsi="Times New Roman"/>
          <w:sz w:val="28"/>
          <w:szCs w:val="28"/>
        </w:rPr>
        <w:t>и</w:t>
      </w:r>
      <w:r w:rsidRPr="003C62FF">
        <w:rPr>
          <w:rFonts w:ascii="Times New Roman" w:eastAsiaTheme="minorHAnsi" w:hAnsi="Times New Roman"/>
          <w:sz w:val="28"/>
          <w:szCs w:val="28"/>
        </w:rPr>
        <w:t>нимательской и инвестиционной деятельности, утвержденного п</w:t>
      </w:r>
      <w:r w:rsidRPr="003C62FF">
        <w:rPr>
          <w:rFonts w:ascii="Times New Roman" w:eastAsiaTheme="minorHAnsi" w:hAnsi="Times New Roman"/>
          <w:sz w:val="28"/>
          <w:szCs w:val="28"/>
        </w:rPr>
        <w:t>о</w:t>
      </w:r>
      <w:r w:rsidRPr="003C62FF">
        <w:rPr>
          <w:rFonts w:ascii="Times New Roman" w:eastAsiaTheme="minorHAnsi" w:hAnsi="Times New Roman"/>
          <w:sz w:val="28"/>
          <w:szCs w:val="28"/>
        </w:rPr>
        <w:t xml:space="preserve">становлением администрации города от </w:t>
      </w:r>
      <w:r w:rsidR="003406BD">
        <w:rPr>
          <w:rFonts w:ascii="Times New Roman" w:eastAsiaTheme="minorHAnsi" w:hAnsi="Times New Roman"/>
          <w:sz w:val="28"/>
          <w:szCs w:val="28"/>
        </w:rPr>
        <w:t xml:space="preserve"> 01.12.2014 №2453</w:t>
      </w:r>
      <w:r w:rsidRPr="003C62FF">
        <w:rPr>
          <w:rFonts w:ascii="Times New Roman" w:eastAsiaTheme="minorHAnsi" w:hAnsi="Times New Roman"/>
          <w:sz w:val="28"/>
          <w:szCs w:val="28"/>
        </w:rPr>
        <w:t>,</w:t>
      </w:r>
      <w:r w:rsidR="003406BD">
        <w:rPr>
          <w:rFonts w:ascii="Times New Roman" w:eastAsiaTheme="minorHAnsi" w:hAnsi="Times New Roman"/>
          <w:sz w:val="28"/>
          <w:szCs w:val="28"/>
        </w:rPr>
        <w:t xml:space="preserve"> </w:t>
      </w:r>
      <w:r w:rsidR="002F3278">
        <w:rPr>
          <w:rFonts w:ascii="Times New Roman" w:eastAsiaTheme="minorHAnsi" w:hAnsi="Times New Roman"/>
          <w:sz w:val="28"/>
          <w:szCs w:val="28"/>
        </w:rPr>
        <w:t>управлением по п</w:t>
      </w:r>
      <w:r w:rsidR="002F3278">
        <w:rPr>
          <w:rFonts w:ascii="Times New Roman" w:eastAsiaTheme="minorHAnsi" w:hAnsi="Times New Roman"/>
          <w:sz w:val="28"/>
          <w:szCs w:val="28"/>
        </w:rPr>
        <w:t>о</w:t>
      </w:r>
      <w:r w:rsidR="002F3278">
        <w:rPr>
          <w:rFonts w:ascii="Times New Roman" w:eastAsiaTheme="minorHAnsi" w:hAnsi="Times New Roman"/>
          <w:sz w:val="28"/>
          <w:szCs w:val="28"/>
        </w:rPr>
        <w:t xml:space="preserve">требительскому рынку администрации города </w:t>
      </w:r>
      <w:r w:rsidR="003406BD">
        <w:rPr>
          <w:rFonts w:ascii="Times New Roman" w:hAnsi="Times New Roman"/>
          <w:sz w:val="28"/>
          <w:szCs w:val="28"/>
        </w:rPr>
        <w:t xml:space="preserve">Нижневартовска </w:t>
      </w:r>
      <w:r w:rsidRPr="003C62FF">
        <w:rPr>
          <w:rFonts w:ascii="Times New Roman" w:hAnsi="Times New Roman"/>
          <w:sz w:val="28"/>
          <w:szCs w:val="28"/>
        </w:rPr>
        <w:t>в период с "</w:t>
      </w:r>
      <w:r w:rsidR="008430CF" w:rsidRPr="003406BD">
        <w:rPr>
          <w:rFonts w:ascii="Times New Roman" w:hAnsi="Times New Roman"/>
          <w:sz w:val="28"/>
          <w:szCs w:val="28"/>
        </w:rPr>
        <w:t>16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2F3278">
        <w:rPr>
          <w:rFonts w:ascii="Times New Roman" w:hAnsi="Times New Roman"/>
          <w:sz w:val="28"/>
          <w:szCs w:val="28"/>
        </w:rPr>
        <w:t>апреля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15</w:t>
      </w:r>
      <w:r w:rsidRPr="003406BD">
        <w:rPr>
          <w:rFonts w:ascii="Times New Roman" w:hAnsi="Times New Roman"/>
          <w:sz w:val="28"/>
          <w:szCs w:val="28"/>
        </w:rPr>
        <w:t xml:space="preserve"> года  по  "</w:t>
      </w:r>
      <w:r w:rsidR="008430CF" w:rsidRPr="003406BD">
        <w:rPr>
          <w:rFonts w:ascii="Times New Roman" w:hAnsi="Times New Roman"/>
          <w:sz w:val="28"/>
          <w:szCs w:val="28"/>
        </w:rPr>
        <w:t>3</w:t>
      </w:r>
      <w:r w:rsidR="002F3278">
        <w:rPr>
          <w:rFonts w:ascii="Times New Roman" w:hAnsi="Times New Roman"/>
          <w:sz w:val="28"/>
          <w:szCs w:val="28"/>
        </w:rPr>
        <w:t>0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2F3278">
        <w:rPr>
          <w:rFonts w:ascii="Times New Roman" w:hAnsi="Times New Roman"/>
          <w:sz w:val="28"/>
          <w:szCs w:val="28"/>
        </w:rPr>
        <w:t>апреля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15</w:t>
      </w:r>
      <w:r w:rsidRPr="003406BD">
        <w:rPr>
          <w:rFonts w:ascii="Times New Roman" w:hAnsi="Times New Roman"/>
          <w:sz w:val="28"/>
          <w:szCs w:val="28"/>
        </w:rPr>
        <w:t xml:space="preserve"> года  проведены публичные консульт</w:t>
      </w:r>
      <w:r w:rsidRPr="003406BD">
        <w:rPr>
          <w:rFonts w:ascii="Times New Roman" w:hAnsi="Times New Roman"/>
          <w:sz w:val="28"/>
          <w:szCs w:val="28"/>
        </w:rPr>
        <w:t>а</w:t>
      </w:r>
      <w:r w:rsidRPr="003406BD">
        <w:rPr>
          <w:rFonts w:ascii="Times New Roman" w:hAnsi="Times New Roman"/>
          <w:sz w:val="28"/>
          <w:szCs w:val="28"/>
        </w:rPr>
        <w:t xml:space="preserve">ции по </w:t>
      </w:r>
      <w:r w:rsidR="00225CF0" w:rsidRPr="003406BD">
        <w:rPr>
          <w:rFonts w:ascii="Times New Roman" w:hAnsi="Times New Roman"/>
          <w:sz w:val="28"/>
          <w:szCs w:val="28"/>
        </w:rPr>
        <w:t>постановлению администрации города от</w:t>
      </w:r>
      <w:proofErr w:type="gramEnd"/>
      <w:r w:rsidR="002F3278">
        <w:rPr>
          <w:rFonts w:ascii="Times New Roman" w:hAnsi="Times New Roman"/>
          <w:sz w:val="28"/>
          <w:szCs w:val="28"/>
        </w:rPr>
        <w:t xml:space="preserve"> </w:t>
      </w:r>
      <w:r w:rsidR="002F3278" w:rsidRPr="002F3278">
        <w:rPr>
          <w:rFonts w:ascii="Times New Roman" w:hAnsi="Times New Roman"/>
          <w:sz w:val="28"/>
          <w:szCs w:val="28"/>
        </w:rPr>
        <w:t>10.07.2012 №842 "Об утверждении муниципальной пр</w:t>
      </w:r>
      <w:r w:rsidR="002F3278" w:rsidRPr="002F3278">
        <w:rPr>
          <w:rFonts w:ascii="Times New Roman" w:hAnsi="Times New Roman"/>
          <w:sz w:val="28"/>
          <w:szCs w:val="28"/>
        </w:rPr>
        <w:t>о</w:t>
      </w:r>
      <w:r w:rsidR="002F3278" w:rsidRPr="002F3278">
        <w:rPr>
          <w:rFonts w:ascii="Times New Roman" w:hAnsi="Times New Roman"/>
          <w:sz w:val="28"/>
          <w:szCs w:val="28"/>
        </w:rPr>
        <w:t>граммы "Развитие агропромышленного комплекса на территории города Нижн</w:t>
      </w:r>
      <w:r w:rsidR="002F3278" w:rsidRPr="002F3278">
        <w:rPr>
          <w:rFonts w:ascii="Times New Roman" w:hAnsi="Times New Roman"/>
          <w:sz w:val="28"/>
          <w:szCs w:val="28"/>
        </w:rPr>
        <w:t>е</w:t>
      </w:r>
      <w:r w:rsidR="002F3278" w:rsidRPr="002F3278">
        <w:rPr>
          <w:rFonts w:ascii="Times New Roman" w:hAnsi="Times New Roman"/>
          <w:sz w:val="28"/>
          <w:szCs w:val="28"/>
        </w:rPr>
        <w:t>варто</w:t>
      </w:r>
      <w:r w:rsidR="002F3278" w:rsidRPr="002F3278">
        <w:rPr>
          <w:rFonts w:ascii="Times New Roman" w:hAnsi="Times New Roman"/>
          <w:sz w:val="28"/>
          <w:szCs w:val="28"/>
        </w:rPr>
        <w:t>в</w:t>
      </w:r>
      <w:r w:rsidR="002F3278" w:rsidRPr="002F3278">
        <w:rPr>
          <w:rFonts w:ascii="Times New Roman" w:hAnsi="Times New Roman"/>
          <w:sz w:val="28"/>
          <w:szCs w:val="28"/>
        </w:rPr>
        <w:t>ска на 2013 - 2015 годы " (с изменениями от 11.07.2013 №1378, 08.08.2013 №1659, 08.11.2013 №2322, 23.01.2014 №80, 07.05.2014 №844, 29.10.2014 №2179, 26.12.2014 №2774)</w:t>
      </w:r>
      <w:r w:rsidR="002F3278">
        <w:rPr>
          <w:rFonts w:ascii="Times New Roman" w:hAnsi="Times New Roman"/>
          <w:sz w:val="28"/>
          <w:szCs w:val="28"/>
        </w:rPr>
        <w:t>.</w:t>
      </w:r>
    </w:p>
    <w:p w:rsidR="00882128" w:rsidRDefault="003C62FF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</w:t>
      </w:r>
      <w:r>
        <w:rPr>
          <w:rFonts w:ascii="Times New Roman" w:hAnsi="Times New Roman"/>
          <w:sz w:val="28"/>
          <w:szCs w:val="28"/>
        </w:rPr>
        <w:t xml:space="preserve"> о проведении публичных консульт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ций, нормативный правовой акт, в отношении которого проводится эк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пертиза в следующие организации:</w:t>
      </w:r>
    </w:p>
    <w:p w:rsidR="003C62FF" w:rsidRDefault="003C62FF" w:rsidP="0034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Нижневартовская Торгово-промышленная палата;</w:t>
      </w:r>
    </w:p>
    <w:p w:rsidR="003C62FF" w:rsidRDefault="003C62FF" w:rsidP="0034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Default="002F3278" w:rsidP="0034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Региональное</w:t>
      </w:r>
      <w:r w:rsidRPr="002F3278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278">
        <w:rPr>
          <w:rFonts w:ascii="Times New Roman" w:hAnsi="Times New Roman"/>
          <w:sz w:val="28"/>
          <w:szCs w:val="28"/>
        </w:rPr>
        <w:t>Общероссийской общественной организации м</w:t>
      </w:r>
      <w:r w:rsidRPr="002F3278">
        <w:rPr>
          <w:rFonts w:ascii="Times New Roman" w:hAnsi="Times New Roman"/>
          <w:sz w:val="28"/>
          <w:szCs w:val="28"/>
        </w:rPr>
        <w:t>а</w:t>
      </w:r>
      <w:r w:rsidRPr="002F3278">
        <w:rPr>
          <w:rFonts w:ascii="Times New Roman" w:hAnsi="Times New Roman"/>
          <w:sz w:val="28"/>
          <w:szCs w:val="28"/>
        </w:rPr>
        <w:t>лого и среднего пре</w:t>
      </w:r>
      <w:r w:rsidRPr="002F3278">
        <w:rPr>
          <w:rFonts w:ascii="Times New Roman" w:hAnsi="Times New Roman"/>
          <w:sz w:val="28"/>
          <w:szCs w:val="28"/>
        </w:rPr>
        <w:t>д</w:t>
      </w:r>
      <w:r w:rsidRPr="002F3278">
        <w:rPr>
          <w:rFonts w:ascii="Times New Roman" w:hAnsi="Times New Roman"/>
          <w:sz w:val="28"/>
          <w:szCs w:val="28"/>
        </w:rPr>
        <w:t>принимательства «Опора России»</w:t>
      </w:r>
    </w:p>
    <w:p w:rsidR="002F3278" w:rsidRDefault="001C30B1" w:rsidP="00340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3C62FF">
        <w:rPr>
          <w:rFonts w:ascii="Times New Roman" w:hAnsi="Times New Roman"/>
          <w:sz w:val="28"/>
          <w:szCs w:val="28"/>
        </w:rPr>
        <w:t xml:space="preserve"> участников публи</w:t>
      </w:r>
      <w:r w:rsidR="00882128" w:rsidRPr="003C62FF">
        <w:rPr>
          <w:rFonts w:ascii="Times New Roman" w:hAnsi="Times New Roman"/>
          <w:sz w:val="28"/>
          <w:szCs w:val="28"/>
        </w:rPr>
        <w:t>ч</w:t>
      </w:r>
      <w:r w:rsidR="00882128" w:rsidRPr="003C62FF">
        <w:rPr>
          <w:rFonts w:ascii="Times New Roman" w:hAnsi="Times New Roman"/>
          <w:sz w:val="28"/>
          <w:szCs w:val="28"/>
        </w:rPr>
        <w:t xml:space="preserve">ных консультаций в установленный срок в адрес </w:t>
      </w:r>
      <w:r w:rsidR="002F3278" w:rsidRPr="002F3278">
        <w:rPr>
          <w:rFonts w:ascii="Times New Roman" w:hAnsi="Times New Roman"/>
          <w:sz w:val="28"/>
          <w:szCs w:val="28"/>
        </w:rPr>
        <w:t>управлени</w:t>
      </w:r>
      <w:r w:rsidR="002F3278">
        <w:rPr>
          <w:rFonts w:ascii="Times New Roman" w:hAnsi="Times New Roman"/>
          <w:sz w:val="28"/>
          <w:szCs w:val="28"/>
        </w:rPr>
        <w:t>я</w:t>
      </w:r>
      <w:r w:rsidR="002F3278" w:rsidRPr="002F3278">
        <w:rPr>
          <w:rFonts w:ascii="Times New Roman" w:hAnsi="Times New Roman"/>
          <w:sz w:val="28"/>
          <w:szCs w:val="28"/>
        </w:rPr>
        <w:t xml:space="preserve"> по потреб</w:t>
      </w:r>
      <w:r w:rsidR="002F3278" w:rsidRPr="002F3278">
        <w:rPr>
          <w:rFonts w:ascii="Times New Roman" w:hAnsi="Times New Roman"/>
          <w:sz w:val="28"/>
          <w:szCs w:val="28"/>
        </w:rPr>
        <w:t>и</w:t>
      </w:r>
      <w:r w:rsidR="002F3278" w:rsidRPr="002F3278">
        <w:rPr>
          <w:rFonts w:ascii="Times New Roman" w:hAnsi="Times New Roman"/>
          <w:sz w:val="28"/>
          <w:szCs w:val="28"/>
        </w:rPr>
        <w:t xml:space="preserve">тельскому рынку администрации города </w:t>
      </w:r>
      <w:r w:rsidR="002F3278" w:rsidRPr="003C62FF">
        <w:rPr>
          <w:rFonts w:ascii="Times New Roman" w:hAnsi="Times New Roman"/>
          <w:sz w:val="28"/>
          <w:szCs w:val="28"/>
        </w:rPr>
        <w:t>не поступили.</w:t>
      </w: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2"/>
      </w:tblGrid>
      <w:tr w:rsidR="000264BC" w:rsidRPr="005E3C93" w:rsidTr="001140E3">
        <w:tc>
          <w:tcPr>
            <w:tcW w:w="9527" w:type="dxa"/>
            <w:gridSpan w:val="3"/>
            <w:shd w:val="clear" w:color="auto" w:fill="auto"/>
          </w:tcPr>
          <w:p w:rsidR="000264BC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5E3C93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Нижневартовская То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р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2F3278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278">
              <w:rPr>
                <w:rFonts w:ascii="Times New Roman" w:hAnsi="Times New Roman"/>
                <w:sz w:val="28"/>
                <w:szCs w:val="28"/>
              </w:rPr>
              <w:t>Региональное о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т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 xml:space="preserve">деление </w:t>
            </w:r>
            <w:r w:rsidRPr="002F3278">
              <w:rPr>
                <w:rFonts w:ascii="Times New Roman" w:hAnsi="Times New Roman"/>
                <w:sz w:val="28"/>
                <w:szCs w:val="28"/>
              </w:rPr>
              <w:lastRenderedPageBreak/>
              <w:t>Общероссийской общ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е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ственной о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р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ганизации малого и среднего пре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д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принимательства «Оп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о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ра Ро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с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сии»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</w:tbl>
    <w:p w:rsidR="000264BC" w:rsidRPr="003C62FF" w:rsidRDefault="000264BC" w:rsidP="001C30B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0264BC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 xml:space="preserve">Постановление администрации города от </w:t>
      </w:r>
      <w:r w:rsidR="002F3278" w:rsidRPr="002F3278">
        <w:rPr>
          <w:rFonts w:ascii="Times New Roman" w:hAnsi="Times New Roman"/>
          <w:sz w:val="28"/>
          <w:szCs w:val="28"/>
        </w:rPr>
        <w:t>10.07.2012 №842 "Об утверждении м</w:t>
      </w:r>
      <w:r w:rsidR="002F3278" w:rsidRPr="002F3278">
        <w:rPr>
          <w:rFonts w:ascii="Times New Roman" w:hAnsi="Times New Roman"/>
          <w:sz w:val="28"/>
          <w:szCs w:val="28"/>
        </w:rPr>
        <w:t>у</w:t>
      </w:r>
      <w:r w:rsidR="002F3278" w:rsidRPr="002F3278">
        <w:rPr>
          <w:rFonts w:ascii="Times New Roman" w:hAnsi="Times New Roman"/>
          <w:sz w:val="28"/>
          <w:szCs w:val="28"/>
        </w:rPr>
        <w:t>ниципальной программы "Развитие агропромышленного комплекса на те</w:t>
      </w:r>
      <w:r w:rsidR="002F3278" w:rsidRPr="002F3278">
        <w:rPr>
          <w:rFonts w:ascii="Times New Roman" w:hAnsi="Times New Roman"/>
          <w:sz w:val="28"/>
          <w:szCs w:val="28"/>
        </w:rPr>
        <w:t>р</w:t>
      </w:r>
      <w:r w:rsidR="002F3278" w:rsidRPr="002F3278">
        <w:rPr>
          <w:rFonts w:ascii="Times New Roman" w:hAnsi="Times New Roman"/>
          <w:sz w:val="28"/>
          <w:szCs w:val="28"/>
        </w:rPr>
        <w:t>ритории города Нижневартовска на 2013 - 2015 годы " (с изменениями от 11.07.2013 №1378, 08.08.2013 №1659, 08.11.2013 №2322, 23.01.2014 №80, 07.05.2014 №844, 29.10.2014 №2179, 26.12.2014 №2774).</w:t>
      </w: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128" w:rsidRDefault="0088212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6E6453" w:rsidTr="006E6453">
        <w:tc>
          <w:tcPr>
            <w:tcW w:w="5920" w:type="dxa"/>
          </w:tcPr>
          <w:p w:rsidR="006E6453" w:rsidRDefault="006E6453" w:rsidP="001C3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E6453" w:rsidRPr="006E6453" w:rsidRDefault="006E6453" w:rsidP="006E6453">
            <w:pPr>
              <w:rPr>
                <w:rFonts w:ascii="Times New Roman" w:hAnsi="Times New Roman"/>
                <w:sz w:val="28"/>
                <w:szCs w:val="28"/>
              </w:rPr>
            </w:pPr>
            <w:r w:rsidRPr="006E645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6453" w:rsidRPr="006E6453" w:rsidRDefault="006E6453" w:rsidP="00DB38C4">
            <w:pPr>
              <w:rPr>
                <w:rFonts w:ascii="Times New Roman" w:hAnsi="Times New Roman"/>
                <w:sz w:val="28"/>
                <w:szCs w:val="28"/>
              </w:rPr>
            </w:pPr>
            <w:r w:rsidRPr="006E6453">
              <w:rPr>
                <w:rFonts w:ascii="Times New Roman" w:hAnsi="Times New Roman"/>
                <w:sz w:val="28"/>
                <w:szCs w:val="28"/>
              </w:rPr>
              <w:t>к своду предложений о р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е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зультатах проведения публи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ч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ных консультаций</w:t>
            </w:r>
          </w:p>
        </w:tc>
      </w:tr>
    </w:tbl>
    <w:p w:rsidR="00DB38C4" w:rsidRDefault="00DB38C4" w:rsidP="006E6453">
      <w:pPr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6E6453" w:rsidRPr="00263D86" w:rsidRDefault="006E6453" w:rsidP="006E6453">
      <w:pPr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263D86">
        <w:rPr>
          <w:rFonts w:ascii="Times New Roman" w:eastAsia="Times New Roman" w:hAnsi="Times New Roman"/>
          <w:bCs/>
          <w:sz w:val="32"/>
          <w:szCs w:val="32"/>
          <w:lang w:eastAsia="ru-RU"/>
        </w:rPr>
        <w:t>АДМИНИСТРАЦИЯ ГОРОДА НИЖНЕВАРТОВСКА</w:t>
      </w:r>
    </w:p>
    <w:p w:rsidR="006E6453" w:rsidRPr="00263D86" w:rsidRDefault="006E6453" w:rsidP="006E6453">
      <w:pPr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263D86">
        <w:rPr>
          <w:rFonts w:ascii="Times New Roman" w:eastAsia="Times New Roman" w:hAnsi="Times New Roman"/>
          <w:bCs/>
          <w:sz w:val="32"/>
          <w:szCs w:val="32"/>
          <w:lang w:eastAsia="ru-RU"/>
        </w:rPr>
        <w:t>Ханты-Мансийского автономного округа – Югры</w:t>
      </w:r>
    </w:p>
    <w:p w:rsidR="006E6453" w:rsidRDefault="006E6453" w:rsidP="006E6453">
      <w:pPr>
        <w:jc w:val="center"/>
        <w:rPr>
          <w:rFonts w:ascii="Times New Roman" w:hAnsi="Times New Roman"/>
          <w:b/>
          <w:sz w:val="28"/>
          <w:szCs w:val="28"/>
        </w:rPr>
      </w:pPr>
      <w:r w:rsidRPr="001E6841">
        <w:rPr>
          <w:rFonts w:ascii="Times New Roman" w:hAnsi="Times New Roman"/>
          <w:b/>
          <w:sz w:val="28"/>
          <w:szCs w:val="28"/>
        </w:rPr>
        <w:t>Постановление</w:t>
      </w:r>
    </w:p>
    <w:p w:rsidR="00573AD3" w:rsidRPr="00384E3C" w:rsidRDefault="00384E3C" w:rsidP="00573AD3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 w:rsidRPr="00384E3C">
        <w:rPr>
          <w:rFonts w:ascii="Times New Roman" w:hAnsi="Times New Roman"/>
          <w:sz w:val="24"/>
          <w:szCs w:val="24"/>
        </w:rPr>
        <w:t>от 10.07</w:t>
      </w:r>
      <w:r w:rsidR="00573AD3" w:rsidRPr="00384E3C">
        <w:rPr>
          <w:rFonts w:ascii="Times New Roman" w:hAnsi="Times New Roman"/>
          <w:sz w:val="24"/>
          <w:szCs w:val="24"/>
        </w:rPr>
        <w:t>.201</w:t>
      </w:r>
      <w:r w:rsidRPr="00384E3C">
        <w:rPr>
          <w:rFonts w:ascii="Times New Roman" w:hAnsi="Times New Roman"/>
          <w:sz w:val="24"/>
          <w:szCs w:val="24"/>
        </w:rPr>
        <w:t>2 №842</w:t>
      </w:r>
    </w:p>
    <w:p w:rsidR="00573AD3" w:rsidRPr="00384E3C" w:rsidRDefault="00573AD3" w:rsidP="00573AD3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</w:p>
    <w:p w:rsidR="00573AD3" w:rsidRPr="00384E3C" w:rsidRDefault="00573AD3" w:rsidP="00384E3C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 w:rsidRPr="00384E3C">
        <w:rPr>
          <w:rFonts w:ascii="Times New Roman" w:hAnsi="Times New Roman"/>
          <w:sz w:val="24"/>
          <w:szCs w:val="24"/>
        </w:rPr>
        <w:t xml:space="preserve">Об утверждении </w:t>
      </w:r>
      <w:r w:rsidR="00384E3C" w:rsidRPr="00384E3C">
        <w:rPr>
          <w:rFonts w:ascii="Times New Roman" w:hAnsi="Times New Roman"/>
          <w:sz w:val="24"/>
          <w:szCs w:val="24"/>
        </w:rPr>
        <w:t>муниципальной</w:t>
      </w:r>
      <w:r w:rsidR="00384E3C" w:rsidRPr="00384E3C">
        <w:rPr>
          <w:rFonts w:ascii="Times New Roman" w:hAnsi="Times New Roman"/>
          <w:sz w:val="24"/>
          <w:szCs w:val="24"/>
        </w:rPr>
        <w:t xml:space="preserve"> программ</w:t>
      </w:r>
      <w:r w:rsidR="00384E3C" w:rsidRPr="00384E3C">
        <w:rPr>
          <w:rFonts w:ascii="Times New Roman" w:hAnsi="Times New Roman"/>
          <w:sz w:val="24"/>
          <w:szCs w:val="24"/>
        </w:rPr>
        <w:t>ы</w:t>
      </w:r>
      <w:r w:rsidR="00384E3C" w:rsidRPr="00384E3C">
        <w:rPr>
          <w:rFonts w:ascii="Times New Roman" w:hAnsi="Times New Roman"/>
          <w:sz w:val="24"/>
          <w:szCs w:val="24"/>
        </w:rPr>
        <w:t xml:space="preserve"> "Развитие агропромышленного ко</w:t>
      </w:r>
      <w:r w:rsidR="00384E3C" w:rsidRPr="00384E3C">
        <w:rPr>
          <w:rFonts w:ascii="Times New Roman" w:hAnsi="Times New Roman"/>
          <w:sz w:val="24"/>
          <w:szCs w:val="24"/>
        </w:rPr>
        <w:t>м</w:t>
      </w:r>
      <w:r w:rsidR="00384E3C" w:rsidRPr="00384E3C">
        <w:rPr>
          <w:rFonts w:ascii="Times New Roman" w:hAnsi="Times New Roman"/>
          <w:sz w:val="24"/>
          <w:szCs w:val="24"/>
        </w:rPr>
        <w:t>плекса на территории города Нижнева</w:t>
      </w:r>
      <w:r w:rsidR="00384E3C" w:rsidRPr="00384E3C">
        <w:rPr>
          <w:rFonts w:ascii="Times New Roman" w:hAnsi="Times New Roman"/>
          <w:sz w:val="24"/>
          <w:szCs w:val="24"/>
        </w:rPr>
        <w:t>р</w:t>
      </w:r>
      <w:r w:rsidR="00384E3C" w:rsidRPr="00384E3C">
        <w:rPr>
          <w:rFonts w:ascii="Times New Roman" w:hAnsi="Times New Roman"/>
          <w:sz w:val="24"/>
          <w:szCs w:val="24"/>
        </w:rPr>
        <w:t>товска на 2013 - 2015 годы"</w:t>
      </w:r>
      <w:r w:rsidR="00384E3C" w:rsidRPr="00384E3C">
        <w:rPr>
          <w:rFonts w:ascii="Times New Roman" w:hAnsi="Times New Roman"/>
          <w:sz w:val="24"/>
          <w:szCs w:val="24"/>
        </w:rPr>
        <w:t xml:space="preserve"> (с изменениями </w:t>
      </w:r>
      <w:r w:rsidR="00384E3C" w:rsidRPr="00384E3C">
        <w:rPr>
          <w:rFonts w:ascii="Times New Roman" w:hAnsi="Times New Roman"/>
          <w:sz w:val="24"/>
          <w:szCs w:val="24"/>
        </w:rPr>
        <w:t>от 11.07.2013 №1378, 08.08.2013 №1659, 08.11.2013 №2322, 23.01.2014 №80, 07.05.2014 №844, 29.10.2014 №2179, 26.12.2014 №2774)</w:t>
      </w: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Pr="00C56DA7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278" w:rsidRPr="002F3278" w:rsidRDefault="002F3278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278">
        <w:rPr>
          <w:rFonts w:ascii="Times New Roman" w:hAnsi="Times New Roman"/>
          <w:sz w:val="28"/>
          <w:szCs w:val="28"/>
        </w:rPr>
        <w:t>В соответствии с Федеральным законом от 06.10.2003 №131-ФЗ "Об о</w:t>
      </w:r>
      <w:r w:rsidRPr="002F3278">
        <w:rPr>
          <w:rFonts w:ascii="Times New Roman" w:hAnsi="Times New Roman"/>
          <w:sz w:val="28"/>
          <w:szCs w:val="28"/>
        </w:rPr>
        <w:t>б</w:t>
      </w:r>
      <w:r w:rsidRPr="002F3278">
        <w:rPr>
          <w:rFonts w:ascii="Times New Roman" w:hAnsi="Times New Roman"/>
          <w:sz w:val="28"/>
          <w:szCs w:val="28"/>
        </w:rPr>
        <w:t>щих принципах организации местного самоуправления в Российской Федерации", р</w:t>
      </w:r>
      <w:r w:rsidRPr="002F3278">
        <w:rPr>
          <w:rFonts w:ascii="Times New Roman" w:hAnsi="Times New Roman"/>
          <w:sz w:val="28"/>
          <w:szCs w:val="28"/>
        </w:rPr>
        <w:t>у</w:t>
      </w:r>
      <w:r w:rsidRPr="002F3278">
        <w:rPr>
          <w:rFonts w:ascii="Times New Roman" w:hAnsi="Times New Roman"/>
          <w:sz w:val="28"/>
          <w:szCs w:val="28"/>
        </w:rPr>
        <w:t>ководствуясь решением Думы города от 01.06.2012 №239 "Об одобрении долг</w:t>
      </w:r>
      <w:r w:rsidRPr="002F3278">
        <w:rPr>
          <w:rFonts w:ascii="Times New Roman" w:hAnsi="Times New Roman"/>
          <w:sz w:val="28"/>
          <w:szCs w:val="28"/>
        </w:rPr>
        <w:t>о</w:t>
      </w:r>
      <w:r w:rsidRPr="002F3278">
        <w:rPr>
          <w:rFonts w:ascii="Times New Roman" w:hAnsi="Times New Roman"/>
          <w:sz w:val="28"/>
          <w:szCs w:val="28"/>
        </w:rPr>
        <w:t>срочной целевой программы "Развитие агропромышленного комплекса на терр</w:t>
      </w:r>
      <w:r w:rsidRPr="002F3278">
        <w:rPr>
          <w:rFonts w:ascii="Times New Roman" w:hAnsi="Times New Roman"/>
          <w:sz w:val="28"/>
          <w:szCs w:val="28"/>
        </w:rPr>
        <w:t>и</w:t>
      </w:r>
      <w:r w:rsidRPr="002F3278">
        <w:rPr>
          <w:rFonts w:ascii="Times New Roman" w:hAnsi="Times New Roman"/>
          <w:sz w:val="28"/>
          <w:szCs w:val="28"/>
        </w:rPr>
        <w:t>тории города Нижневартовска на 2013 - 2015 годы":</w:t>
      </w:r>
    </w:p>
    <w:p w:rsidR="002F3278" w:rsidRDefault="002F3278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278" w:rsidRPr="002F3278" w:rsidRDefault="002F3278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278">
        <w:rPr>
          <w:rFonts w:ascii="Times New Roman" w:hAnsi="Times New Roman"/>
          <w:sz w:val="28"/>
          <w:szCs w:val="28"/>
        </w:rPr>
        <w:t>1. Утвердить муниципальную программу "Развитие агропромышленного комплекса на территории города Нижневартовска на 2013 - 2015 годы" согла</w:t>
      </w:r>
      <w:r w:rsidRPr="002F3278">
        <w:rPr>
          <w:rFonts w:ascii="Times New Roman" w:hAnsi="Times New Roman"/>
          <w:sz w:val="28"/>
          <w:szCs w:val="28"/>
        </w:rPr>
        <w:t>с</w:t>
      </w:r>
      <w:r w:rsidRPr="002F3278">
        <w:rPr>
          <w:rFonts w:ascii="Times New Roman" w:hAnsi="Times New Roman"/>
          <w:sz w:val="28"/>
          <w:szCs w:val="28"/>
        </w:rPr>
        <w:t>но приложению.</w:t>
      </w:r>
    </w:p>
    <w:p w:rsidR="002F3278" w:rsidRDefault="002F3278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278" w:rsidRPr="002F3278" w:rsidRDefault="002F3278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278">
        <w:rPr>
          <w:rFonts w:ascii="Times New Roman" w:hAnsi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2F3278">
        <w:rPr>
          <w:rFonts w:ascii="Times New Roman" w:hAnsi="Times New Roman"/>
          <w:sz w:val="28"/>
          <w:szCs w:val="28"/>
        </w:rPr>
        <w:t>Ложева</w:t>
      </w:r>
      <w:proofErr w:type="spellEnd"/>
      <w:r w:rsidRPr="002F3278">
        <w:rPr>
          <w:rFonts w:ascii="Times New Roman" w:hAnsi="Times New Roman"/>
          <w:sz w:val="28"/>
          <w:szCs w:val="28"/>
        </w:rPr>
        <w:t>) опубликовать пост</w:t>
      </w:r>
      <w:r w:rsidRPr="002F3278">
        <w:rPr>
          <w:rFonts w:ascii="Times New Roman" w:hAnsi="Times New Roman"/>
          <w:sz w:val="28"/>
          <w:szCs w:val="28"/>
        </w:rPr>
        <w:t>а</w:t>
      </w:r>
      <w:r w:rsidRPr="002F3278">
        <w:rPr>
          <w:rFonts w:ascii="Times New Roman" w:hAnsi="Times New Roman"/>
          <w:sz w:val="28"/>
          <w:szCs w:val="28"/>
        </w:rPr>
        <w:t>новление в средствах массовой информации.</w:t>
      </w:r>
    </w:p>
    <w:p w:rsidR="002F3278" w:rsidRDefault="002F3278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278" w:rsidRPr="002F3278" w:rsidRDefault="002F3278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278">
        <w:rPr>
          <w:rFonts w:ascii="Times New Roman" w:hAnsi="Times New Roman"/>
          <w:sz w:val="28"/>
          <w:szCs w:val="28"/>
        </w:rPr>
        <w:t>3. Постановление вступает в силу с 01.01.2013.</w:t>
      </w:r>
    </w:p>
    <w:p w:rsidR="002F3278" w:rsidRDefault="002F3278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AD3" w:rsidRDefault="002F3278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27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F327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F3278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первого замест</w:t>
      </w:r>
      <w:r w:rsidRPr="002F3278">
        <w:rPr>
          <w:rFonts w:ascii="Times New Roman" w:hAnsi="Times New Roman"/>
          <w:sz w:val="28"/>
          <w:szCs w:val="28"/>
        </w:rPr>
        <w:t>и</w:t>
      </w:r>
      <w:r w:rsidRPr="002F3278">
        <w:rPr>
          <w:rFonts w:ascii="Times New Roman" w:hAnsi="Times New Roman"/>
          <w:sz w:val="28"/>
          <w:szCs w:val="28"/>
        </w:rPr>
        <w:t>теля главы администрации города С.А. Левкина.</w:t>
      </w:r>
    </w:p>
    <w:p w:rsidR="002F3278" w:rsidRDefault="002F3278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38C4" w:rsidRDefault="00DB38C4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38C4" w:rsidRPr="00C56DA7" w:rsidRDefault="00DB38C4" w:rsidP="002F32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Глава администрации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А.А. Бадина</w:t>
            </w:r>
          </w:p>
        </w:tc>
      </w:tr>
    </w:tbl>
    <w:p w:rsidR="00573AD3" w:rsidRPr="008D0F98" w:rsidRDefault="00573AD3" w:rsidP="00DB3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DA7">
        <w:rPr>
          <w:rFonts w:ascii="Times New Roman" w:hAnsi="Times New Roman"/>
          <w:sz w:val="28"/>
          <w:szCs w:val="28"/>
        </w:rPr>
        <w:lastRenderedPageBreak/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Pr="00C56DA7">
        <w:rPr>
          <w:rFonts w:ascii="Times New Roman" w:hAnsi="Times New Roman"/>
          <w:sz w:val="28"/>
          <w:szCs w:val="28"/>
        </w:rPr>
        <w:tab/>
      </w:r>
      <w:r w:rsidR="00DB38C4">
        <w:rPr>
          <w:rFonts w:ascii="Times New Roman" w:hAnsi="Times New Roman"/>
          <w:sz w:val="28"/>
          <w:szCs w:val="28"/>
        </w:rPr>
        <w:t xml:space="preserve">                   </w:t>
      </w:r>
      <w:bookmarkStart w:id="0" w:name="_GoBack"/>
      <w:bookmarkEnd w:id="0"/>
      <w:r w:rsidRPr="008D0F98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573AD3" w:rsidRPr="008D0F98" w:rsidRDefault="00573AD3" w:rsidP="00573AD3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8D0F98">
        <w:rPr>
          <w:rFonts w:ascii="Times New Roman" w:hAnsi="Times New Roman"/>
          <w:sz w:val="28"/>
          <w:szCs w:val="28"/>
        </w:rPr>
        <w:t>администрации города</w:t>
      </w:r>
    </w:p>
    <w:p w:rsidR="00573AD3" w:rsidRPr="008D0F98" w:rsidRDefault="00384E3C" w:rsidP="00573AD3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от 10.07</w:t>
      </w:r>
      <w:r w:rsidR="00573AD3" w:rsidRPr="00A43681">
        <w:rPr>
          <w:rFonts w:ascii="Times New Roman" w:hAnsi="Times New Roman"/>
          <w:sz w:val="28"/>
          <w:szCs w:val="24"/>
        </w:rPr>
        <w:t>.201</w:t>
      </w:r>
      <w:r>
        <w:rPr>
          <w:rFonts w:ascii="Times New Roman" w:hAnsi="Times New Roman"/>
          <w:sz w:val="28"/>
          <w:szCs w:val="24"/>
        </w:rPr>
        <w:t>2 №842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color w:val="26282F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bCs/>
          <w:color w:val="26282F"/>
          <w:sz w:val="28"/>
          <w:szCs w:val="28"/>
          <w:lang w:eastAsia="ru-RU"/>
        </w:rPr>
        <w:t xml:space="preserve">Муниципальная программа </w:t>
      </w:r>
      <w:r w:rsidRPr="00384E3C">
        <w:rPr>
          <w:rFonts w:ascii="Times New Roman" w:eastAsiaTheme="minorEastAsia" w:hAnsi="Times New Roman"/>
          <w:bCs/>
          <w:color w:val="26282F"/>
          <w:sz w:val="28"/>
          <w:szCs w:val="28"/>
          <w:lang w:eastAsia="ru-RU"/>
        </w:rPr>
        <w:br/>
        <w:t>"Развитие агропромышленного комплекса на территории города Нижнева</w:t>
      </w:r>
      <w:r w:rsidRPr="00384E3C">
        <w:rPr>
          <w:rFonts w:ascii="Times New Roman" w:eastAsiaTheme="minorEastAsia" w:hAnsi="Times New Roman"/>
          <w:bCs/>
          <w:color w:val="26282F"/>
          <w:sz w:val="28"/>
          <w:szCs w:val="28"/>
          <w:lang w:eastAsia="ru-RU"/>
        </w:rPr>
        <w:t>р</w:t>
      </w:r>
      <w:r w:rsidRPr="00384E3C">
        <w:rPr>
          <w:rFonts w:ascii="Times New Roman" w:eastAsiaTheme="minorEastAsia" w:hAnsi="Times New Roman"/>
          <w:bCs/>
          <w:color w:val="26282F"/>
          <w:sz w:val="28"/>
          <w:szCs w:val="28"/>
          <w:lang w:eastAsia="ru-RU"/>
        </w:rPr>
        <w:t>товска на 2013 - 2015 годы"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color w:val="26282F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bCs/>
          <w:color w:val="26282F"/>
          <w:sz w:val="28"/>
          <w:szCs w:val="28"/>
          <w:lang w:eastAsia="ru-RU"/>
        </w:rPr>
        <w:t>Паспорт Программы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7223"/>
      </w:tblGrid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Наименование Пр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Муниципальная программа "Развитие агропромышленн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го комплекса на территории города Нижневартовска на 2013-2015 годы" (далее - Программа)</w:t>
            </w:r>
          </w:p>
        </w:tc>
      </w:tr>
      <w:bookmarkStart w:id="1" w:name="sub_1009"/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fldChar w:fldCharType="begin"/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instrText>HYPERLINK "garantF1://30630774.46"</w:instrTex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fldChar w:fldCharType="separate"/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Утратила силу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2" w:name="sub_1013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Ответственный 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полнитель Пр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граммы</w:t>
            </w:r>
            <w:bookmarkEnd w:id="2"/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по потребительскому рынку администрации города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3" w:name="sub_1014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Соисполнители Программы</w:t>
            </w:r>
            <w:bookmarkEnd w:id="3"/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Департамент муниципальной собственности и земельных ресурсов администрации города;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отдел анализа общественного мнения администрации г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рода;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пресс-служба администрации города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Создание условий для устойчивого развития сельского хозяйства и рыбной отрасли города, повышение конк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рентоспособности продукции, произведенной предпри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я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тиями агропромышленного комплекса города Нижнева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товска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1. Создание общих условий для функционирования сел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ского хозяйства и рыбной отрасли в городе.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2. Создание условий для расширения рынка сельскох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зяйственной продукции.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3. Формирование благоприятного общественного мнения и повышение престижа </w:t>
            </w:r>
            <w:proofErr w:type="gramStart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сельскохозяйственной</w:t>
            </w:r>
            <w:proofErr w:type="gramEnd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деятельн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сти.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4. Исполнение отдельного государственного полномочия по поддержке сельскохозяйственного производства и де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я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тельности по заготовке и переработке дикоросов (за 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ключением мероприятий, предусмотренных федеральн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ы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 целевыми программами)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Срок и этапы реал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зации Программы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2013-2015 годы: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I-й этап - 2013 год;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II-й этап - 2014 год;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III-й этап - 2015 год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4" w:name="sub_10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Объемы и источн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ки финансирования Программы</w:t>
            </w:r>
            <w:bookmarkEnd w:id="4"/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Общий объем финансирования Программы на 2013-2015 годы составляет 156 607,6 тыс. руб., из них: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за счет средств бюджета города - 6 300,0 тыс. руб., в том числе: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2013 год - 2 000,0 тыс. руб.;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2014 год - 2 100,0 тыс. руб.;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2015 год - 2 200,0 тыс. руб.;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за счет субвенций из бюджета автономного округа - 150 307,6 тыс. руб., в том числе: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2014 год - 103 954,6 тыс. руб.;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2015 год - 46 353,0 тыс. руб.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5" w:name="sub_1010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Ожидаемые резул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таты реализации Программы и пок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затели эффективн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сти</w:t>
            </w:r>
            <w:bookmarkEnd w:id="5"/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1. Ожидаемые непосредственные результаты реализации Программы: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увеличение объема производства сельскохозяйственной продукции организациями, предприятиями всех форм собственности, индивидуальными предпринимателями, крестьянскими (фермерскими) хозяйствами к уровню 2012 года: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мяса скота и птицы (в живом весе) - на 210,8 тонны (на 37,7%);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молока - на 124,6 тонны (на 40,8%);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увеличение поголовья крупного рогатого скота, мелкого рогатого скота, лошадей, свиней на 6% к уровню 2012 г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да;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увеличение количества средств механизации, автомат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зации производства и сельскохозяйственной техники не менее чем на 12 единиц к уровню 2012 года;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проведение не менее 3 мероприятий в год, направле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ных на формирование благоприятного общественного мнения и повышение престижа </w:t>
            </w:r>
            <w:proofErr w:type="gramStart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сельскохозяйственной</w:t>
            </w:r>
            <w:proofErr w:type="gramEnd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д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ятельности.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2. Ожидаемые конечные результаты реализации Пр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граммы (показатели социально-экономической эффе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тивности):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увеличение обеспеченности населения города мясом и мясопродуктами (в пересчете на мясо) собственного пр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изводства по отношению к нормативу потребления с 3,88% до 4,38%;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увеличение ассортимента выпускаемой рыбопродукции не менее чем на 10 наименований;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увеличение ассортимента продукции переработки дик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росов не менее чем на 3 наименования;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- увеличение количества сельскохозяйственных товар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производителей города на 2 единицы;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- увеличение численности </w:t>
            </w:r>
            <w:proofErr w:type="gramStart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работающих</w:t>
            </w:r>
            <w:proofErr w:type="gramEnd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в сельскохозя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й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ственном производстве на 4,9% к уровню 2012 года</w:t>
            </w:r>
          </w:p>
        </w:tc>
      </w:tr>
      <w:bookmarkStart w:id="6" w:name="sub_1015"/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fldChar w:fldCharType="begin"/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instrText>HYPERLINK "garantF1://30624788.13"</w:instrTex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fldChar w:fldCharType="separate"/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Утратила силу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fldChar w:fldCharType="end"/>
            </w:r>
            <w:bookmarkEnd w:id="6"/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bookmarkStart w:id="7" w:name="sub_1016"/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fldChar w:fldCharType="begin"/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instrText>HYPERLINK "garantF1://30624788.13"</w:instrTex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fldChar w:fldCharType="separate"/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Утратила силу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fldChar w:fldCharType="end"/>
            </w:r>
            <w:bookmarkEnd w:id="7"/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384E3C" w:rsidRPr="00384E3C" w:rsidRDefault="00384E3C" w:rsidP="00384E3C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Theme="minorEastAsia" w:hAnsi="Times New Roman"/>
          <w:i/>
          <w:iCs/>
          <w:sz w:val="28"/>
          <w:szCs w:val="28"/>
          <w:shd w:val="clear" w:color="auto" w:fill="F0F0F0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I. Характеристика проблем, на решение которых направлена Программа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Программа разработана с целью реализации комплекса мер для развития сельскохозяйственного производства на территории города Нижневартовска, ст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мулирования производства сельскохозяйственной и рыбной продукции, повыш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ния финансовой устойчивости сельскохозяйственных товаропроизводителей гор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да.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8" w:name="sub_1011"/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Программа разработана в соответствии с </w:t>
      </w:r>
      <w:hyperlink r:id="rId6" w:history="1">
        <w:r w:rsidRPr="00384E3C">
          <w:rPr>
            <w:rFonts w:ascii="Times New Roman" w:eastAsiaTheme="minorEastAsia" w:hAnsi="Times New Roman"/>
            <w:sz w:val="28"/>
            <w:szCs w:val="28"/>
            <w:lang w:eastAsia="ru-RU"/>
          </w:rPr>
          <w:t>Федеральным законом</w:t>
        </w:r>
      </w:hyperlink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06.10.2003 №131-ФЗ "Об общих принципах организации местного самоуправления в Российской Федерации", </w:t>
      </w:r>
      <w:hyperlink r:id="rId7" w:history="1">
        <w:r w:rsidRPr="00384E3C">
          <w:rPr>
            <w:rFonts w:ascii="Times New Roman" w:eastAsiaTheme="minorEastAsia" w:hAnsi="Times New Roman"/>
            <w:sz w:val="28"/>
            <w:szCs w:val="28"/>
            <w:lang w:eastAsia="ru-RU"/>
          </w:rPr>
          <w:t>постановлением</w:t>
        </w:r>
      </w:hyperlink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Правительства Ханты-Мансийского автономного округа - Югры от 09.10.2013 №420-п "О государственной программе Ханты-Мансийского автономного округа - Югры "Развитие агропромышленного комплекса и рынков сельскохозяйственной продукции, сырья и продовольствия в Ханты-Мансийском автономном округе - Югре в 2014 - 2020 годах", распоряжен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ем администрации города от 26.03.2012 №405-р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"О разработке проекта долгосро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ч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ной целевой программы "Развитие агропромышленного комплекса на территории города Нижневартовска на 2013-2015 годы".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9" w:name="sub_1012"/>
      <w:bookmarkEnd w:id="8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Участниками Программы являются  юридические лица независимо от орг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низационно-правовых форм и форм собственности, индивидуальные предприн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матели, крестьянские (фермерские) хозяйства, зарегистрированные на территории города и осуществляющие производство и реализацию сельскохозяйственной пр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дукции, переработку и реализацию рыбной продукции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,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заготовку и (или) перер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ботку дикоросов, их реализацию (далее - сельскохозяйственные товаропроизвод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тели города), а также граждане, зарегистрированные и осуществляющие произво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ство сельскохозяйственной продукции на территории города.</w:t>
      </w:r>
    </w:p>
    <w:bookmarkEnd w:id="9"/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Основные направления деятельности хозяйств: производство продукции ж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вотноводства, связанного с разведением крупного и мелкого рогатого скота, св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ней; птицеводство - производство яиц, мясо птицы; растениеводство - выращив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ние картофеля, овощей открытого и закрытого грунта, заготовка грубых кормов (сена), рыбопереработка - производство пищевой рыбной продукции.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За 2011 год на территории города Нижневартовска производство мяса (в ж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вом весе) составило 454,8 т, что превышает объем прошлого года на 114% (2010 г. - 397,5 т), производство молока 311,3 т - 97% к уровню 2010 года (322,1 т), пол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чено яиц от птицы всех видов - 11 792,25 тыс. штук (или 88% к уровню 2010 года).</w:t>
      </w:r>
      <w:proofErr w:type="gramEnd"/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Поголовье крупного рогатого скота увеличилось на 2,3% (с 214 до 219 г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лов) (коров - на 6,8% с 73 до 78 голов), свиней - на 31,8% (с 1 828 до 2 409 голов), мелкого рогатого скота - 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2,1 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раза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(с 64 до 135 голов), кроликов - в 51 раз (с 2 до 103 головы).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Помимо продукции животноводства на территории города за 2011 год было произведено и реализовано картофеля 20 794,5 т или 100,6% к показателю анал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гичного периода прошлого года (2010 г. - 20 680,6 т), овощей открытого и закр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ы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того грунта 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увеличилось на 106,1% и составило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4 832,6 т (2010 г. - 4 554,3 т).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За 2011 год рыбоперерабатывающими предприятиями города произведено пищевой рыбной продукции в количестве 941,4 т (133,1% к аналогичному периоду 2010 года), в том числе реализовано 928,6 т на сумму 134 788,8 тыс. рублей (132,1% к аналогичному периоду 2010 года).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Но, несмотря на достигнутые результаты, в сельскохозяйственной отрасли сохраняется ряд проблем, сдерживающих ее дальнейшее развитие.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Бесспорно, что в условиях северного города производство сельскохозя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ственной продукции высоко затратное. Прежде 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всего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из-за высокой доли кормов в структуре себестоимости продукции. Сенокосные угодья на территории города ограничены, находятся в труднодоступных местах, а местные природные условия требуют производить заготовку грубых кормов (сена) в сжатые сроки (из-за к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роткого северного лета). При этом наблюдается ежегодный рост цен 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на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закуп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бикормов для всех видов сельскохозяйственных животных и птицы.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Однако даже в этих условиях опыт ведения сельскохозяйственного прои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водства свидетельствует о возможностях расширения сельскохозяйственного пр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изводства на территории города Нижневартовска.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Для увеличения объемов реализации животноводческой продукции сельск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хозяйственным товаропроизводителям необходимо наращивание поголовья сел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ь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скохозяйственных животных, совершенствовать материально-техническую базу. При формировании полного цикла производства продуктов питания сельского х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зяйства (от сырья до готового продукта) необходимо оказывать содействие разв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тию переработки продукции, что, несомненно, позволит увеличить рентабельность хозяйств. Кроме того, необходимо компенсировать часть затрат сельскохозя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ственным товаропроизводителям на приобретение сельскохозяйственной техники, оборудования, оснащения и приспособлений для развития сельского хозяйства и рыбной отрасли, что позволит не только сохранить имеющееся поголовье сельск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хозяйственных животных, но и приумножить их, а также увеличить производство сельскохозяйственной продукции. Финансовая поддержка 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будет способствовать экономической стабильности сельскохозяйственных товаропроизводителей города и повысит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конкурентоспособность сельскохозяйственной и рыбной продукции. Решение данной задачи на сегодняшний день актуально, но невозможно без по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держки и координации деятельности предприятий сельского хозяйства и рыбной отрасли органами местного самоуправления.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Исходя из этого, для устойчивого развития сельскохозяйственного прои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водства требуется разработка механизма муниципальной поддержки, внедрение новых форм взаимодействия органов местного самоуправления и сельскохозя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ственных товаропроизводителей города. Проводимая государственная политика в сфере развития агропромышленного комплекса с учетом вышеперечисленных факторов определяет необходимость принятия Программы.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bookmarkStart w:id="10" w:name="sub_200"/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II. Основная цель и задачи Программы</w:t>
      </w:r>
    </w:p>
    <w:bookmarkEnd w:id="10"/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Основной целью Программы является создание условий для устойчивого развития сельского хозяйства и рыбной отрасли города, повышение конкурент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способности продукции, произведенной предприятиями агропромышленного ко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плекса города Нижневартовска.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Программа направлена на решение следующих задач: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1" w:name="sub_1003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1. Создание общих условий для функционирования сельского хозяйства и рыбной отрасли в городе.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2" w:name="sub_1004"/>
      <w:bookmarkEnd w:id="11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2. Создание условий для расширения рынка сельскохозяйственной проду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к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ции.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3" w:name="sub_1005"/>
      <w:bookmarkEnd w:id="12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3. Формирование благоприятного общественного мнения и повышение пр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стижа 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сельскохозяйственной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деятельности.</w:t>
      </w:r>
    </w:p>
    <w:bookmarkEnd w:id="13"/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4. Исполнение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выми программами).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bookmarkStart w:id="14" w:name="sub_300"/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III. Срок и этапы реализации Программы</w:t>
      </w:r>
    </w:p>
    <w:bookmarkEnd w:id="14"/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Срок реализации Программы - 2013-2015 годы.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Этапы реализации Программы: I этап - 2013 год; II этап - 2014 год; III этап - 2015 год.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 xml:space="preserve">IV. Обоснование ресурсного обеспечения Программы 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Программа финансируется из средств бюджета города Нижневартовска и за счет субвенций из бюджета Ханты-Мансийского автономного округа - Югры.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Финансирование основных мероприятий Программы по задачам 1, 3 ос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ществляется из бюджета города. Объем финансирования Программы из бюджета города утверждается Думой города при утверждении городского бюджета на оч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редной финансовый год и на плановый период.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Финансирование мероприятий по задаче 4 осуществляется за счет субвенций из бюджета автономного округа в соответствии с окружным законодательством.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Общий объем финансирования, необходимый для реализации мероприятий Программы, составляет 89 741,4 тыс. руб., из них: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- за счет средств бюджета города - 6 300,0 тыс. руб., в том числе: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2013 год - 2 000,0 тыс. руб.;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2014 год - 2 100,0 тыс. руб.;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2015 год - 2 200,0 тыс. руб.;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- за счет субвенций из бюджета автономного округа - 83 441,4 тыс. руб., в том числе: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2014 год - 37 088,4 тыс. руб.;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2015 год - 46 353,0 тыс. руб.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Ежегодные объемы финансирования Программы из бюджета города могут подлежать корректировке путем уточнения по суммам и мероприятиям.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Для реализации отдельных мероприятий Программы привлекаются со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б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ственные средства сельхозтоваропроизводителей города.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Контроль за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расходованием бюджетных средств и выполнением меропри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я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тий Программы осуществляется в установленном законодательством порядке.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bookmarkStart w:id="15" w:name="sub_500"/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V. Механизм реализации Программы</w:t>
      </w:r>
    </w:p>
    <w:bookmarkEnd w:id="15"/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Механизм реализации Программы - это система программных мероприятий, скоординированных по срокам, объему финансирования и ответственным испо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л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нителям, обеспечивающих достижение намеченных результатов.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Программа реализуется в соответствии с законодательством Российской Ф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дерации и Ханты-Мансийского автономного округа - Югры в сфере агропромы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ш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ленного комплекса.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Механизм реализации Программы включает в себя направления: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- разработку и принятие правовых актов, необходимых для выполнения Пр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граммы;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- ежегодное уточнение затрат на реализацию программных мероприятий;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- совершенствование организационной структуры управления Программой с четким определением состава, функций, механизмов, координации действий 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полнителей мероприятий Программы;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- размещение в средствах массовой информации и на официальном сайте 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ганов местного самоуправления города Нижневартовска информации о ходе и 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зультатах реализации Программы, финансирования программных мероприятий на территории города Нижневартовска.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Ответственный исполнитель Программы является управление по потреб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тельскому рынку администрации города, 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которое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осуществляет: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текущее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управление реализацией Программы;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- разработку планов работы по выполнению соответствующих мероприятий;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- участие в разработке проектов, соглашений и договоров в сфере поддержки и развития сельского хозяйства и рыбной отрасли;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- организацию работы по выполнению мероприятий, предусмотренных Пр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граммой;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- в полном объеме, качественно и в срок контролирует целевое использов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ние сре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дств Пр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ограммы.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Для обеспечения контроля и анализа хода реализации Программы отве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ственный исполнитель Программы производит сопоставление показателей эффе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к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тивности и выполнения мероприятий Программы с целевыми индикаторами.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Ответственный исполнитель Программы ежеквартально, с нарастающим итогом с начала года, в срок до 15 числа месяца, следующего после окончания квартала, направляет в департамент экономики администрации города отчет о х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де реализации Программы и использовании финансовых средств с пояснительной запиской для формирования итогов социально-экономического развития города Нижневартовска за отчетный период.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Вопросы взаимодействия в рамках Программы и контроля за ходом ее ре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лизации рассматриваются на заседаниях при первом заместителе главы админ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страции города.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Ответственный исполнитель Программы несет ответственность за эффе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к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тивное и целевое использование средств.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Контроль за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исполнением Программы осуществляет первый заместитель главы администрации города.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Информация о результатах оценки эффективности реализации Программы за прошедший финансовый год доводится до сведения главы администрации города и Думы города не позднее 1 апреля следующего года.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VI. Оценка ожидаемой эффективности реализации Программы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Оценка ожидаемой эффективности реализации Программы определяется с учетом достигнутого уровня развития сельскохозяйственного производства гор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да.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Реализация мероприятий Программы направлена на создание благоприя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ных условий для развития предприятий сельского хозяйства и рыбной отрасли в городе.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Оценка ожидаемой эффективности реализации Программы приведена в </w:t>
      </w:r>
      <w:hyperlink w:anchor="sub_101" w:history="1">
        <w:r w:rsidRPr="00384E3C">
          <w:rPr>
            <w:rFonts w:ascii="Times New Roman" w:eastAsiaTheme="minorEastAsia" w:hAnsi="Times New Roman"/>
            <w:sz w:val="28"/>
            <w:szCs w:val="28"/>
            <w:lang w:eastAsia="ru-RU"/>
          </w:rPr>
          <w:t>та</w:t>
        </w:r>
        <w:r w:rsidRPr="00384E3C">
          <w:rPr>
            <w:rFonts w:ascii="Times New Roman" w:eastAsiaTheme="minorEastAsia" w:hAnsi="Times New Roman"/>
            <w:sz w:val="28"/>
            <w:szCs w:val="28"/>
            <w:lang w:eastAsia="ru-RU"/>
          </w:rPr>
          <w:t>б</w:t>
        </w:r>
        <w:r w:rsidRPr="00384E3C">
          <w:rPr>
            <w:rFonts w:ascii="Times New Roman" w:eastAsiaTheme="minorEastAsia" w:hAnsi="Times New Roman"/>
            <w:sz w:val="28"/>
            <w:szCs w:val="28"/>
            <w:lang w:eastAsia="ru-RU"/>
          </w:rPr>
          <w:t>лице 1</w:t>
        </w:r>
      </w:hyperlink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6" w:name="sub_101"/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Таблица 1</w:t>
      </w:r>
    </w:p>
    <w:bookmarkEnd w:id="16"/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Оценка ожидаемой эффективности реализации Программы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10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463"/>
        <w:gridCol w:w="1689"/>
        <w:gridCol w:w="12"/>
        <w:gridCol w:w="1008"/>
        <w:gridCol w:w="14"/>
        <w:gridCol w:w="899"/>
        <w:gridCol w:w="914"/>
        <w:gridCol w:w="1563"/>
      </w:tblGrid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N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gramStart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Наименование показателя 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Базовый показатель на начало реализации Программы (2012 год)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Показатели по годам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Целевое значение показателя на момент окончания действия 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Програ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мы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2013 год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2015 год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102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I. Показатели непосредственных результатов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17" w:name="sub_11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1.1.</w:t>
            </w:r>
            <w:bookmarkEnd w:id="17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Увеличение объема пр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изводства сельскохозя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й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ственной продукции сел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скохозяйственными тов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ропроизводителями гор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да (тонн):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мяса скота и птицы (в живом весе);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молока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559,2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305,4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630,0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347,0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850,0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390,0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770,0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430,0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770,0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430,0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18" w:name="sub_12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1.2.</w:t>
            </w:r>
            <w:bookmarkEnd w:id="18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Увеличение поголовья крупного рогатого скота, мелкого рогатого скота, лошадей, свиней (голов)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3 974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4 053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4 134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4 212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4 212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Увеличение количества средств механизации, 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томатизации производства и сельскохозяйственной техники (единиц)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63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Проведение не менее 3 мероприятий в год, направленных на форм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рование благоприятного общественного мнения и повышение престижа </w:t>
            </w:r>
            <w:proofErr w:type="gramStart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сельскохозяйственной</w:t>
            </w:r>
            <w:proofErr w:type="gramEnd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д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ятельности (единиц)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102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II. Показатели конечных результатов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19" w:name="sub_21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2.1.</w:t>
            </w:r>
            <w:bookmarkEnd w:id="19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Увеличение обеспеченн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сти населения города 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я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сом и мясопродуктами (в пересчете на мясо) со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ственного производства по отношению к нормативу потребления</w:t>
            </w:r>
            <w:proofErr w:type="gramStart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3,88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4,12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4,35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4,38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4,38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20" w:name="sub_22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2.2.</w:t>
            </w:r>
            <w:bookmarkEnd w:id="20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Увеличение ассортимента </w:t>
            </w:r>
            <w:proofErr w:type="gramStart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выпускаемой</w:t>
            </w:r>
            <w:proofErr w:type="gramEnd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рыбопр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дукции (единиц)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Увеличение ассортимента 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продукции переработки дикоросов (единиц)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Увеличение количества сельскохозяйственных т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варопроизводителей гор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да (единиц)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Увеличение численности работающих в сельскох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зяйственном производстве (человек)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128</w:t>
            </w:r>
          </w:p>
        </w:tc>
      </w:tr>
    </w:tbl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VII. Перечень программных мероприятий, условия и размеры предоставля</w:t>
      </w:r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е</w:t>
      </w:r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мых субсидий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Программные мероприятия направлены на комплексное решение поставле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ных задач в течение всего срока реализации Программы.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Перечень программных мероприятий приведен в таблице 2.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1" w:name="sub_1018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По мероприятиям задачи 1 из бюджета города предоставляются субсидии сельскохозяйственным товаропроизводителям города (за исключением госуда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ственных (муниципальных) учреждений) (далее - получатели).</w:t>
      </w:r>
    </w:p>
    <w:bookmarkEnd w:id="21"/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Субсидии предоставляются на безвозмездной и безвозвратной основе за счет средств бюджета города по направлениям: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- на возмещение части затрат на приобретение сельскохозяйственной техн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ки, оборудования, оснащения и приспособлений для развития сельского хозяйства и рыбной отрасли;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- на возмещение части затрат на приобретение репродуктивных сельскох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зяйственных животных;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- на возмещение части затрат на содержание маточного поголовья сельск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хозяйственных животных (коров, </w:t>
      </w:r>
      <w:proofErr w:type="spell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коз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proofErr w:type="spell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(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овце)маток, конематок).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2" w:name="sub_1078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Затраты на приобретение включают документально подтвержденные затр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ты на приобретение и на оплату услуг по доставке от места приобретения до гор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да Нижневартовска с учетом оплаты услуг на страхование имущества при тран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портировке, а также затраты по монтажу и наладке.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3" w:name="sub_1019"/>
      <w:bookmarkEnd w:id="22"/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Субсидия на приобретение сельскохозяйственной техники, оборудования, оснащения и приспособлений для развития сельского хозяйства и рыбной отрасли предоставляется получателям, кроме индивидуальных предпринимателей и кр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стьянских (фермерских) хозяйств, имеющих право на получение субсидии на ра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витие материально-технической базы малых форм хозяйствования из бюджета г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рода за счет субвенции из бюджета Ханты-Мансийского автономного округа - Югры, в соответствии с </w:t>
      </w:r>
      <w:hyperlink r:id="rId8" w:history="1">
        <w:r w:rsidRPr="00384E3C">
          <w:rPr>
            <w:rFonts w:ascii="Times New Roman" w:eastAsiaTheme="minorEastAsia" w:hAnsi="Times New Roman"/>
            <w:sz w:val="28"/>
            <w:szCs w:val="28"/>
            <w:lang w:eastAsia="ru-RU"/>
          </w:rPr>
          <w:t>постановлением</w:t>
        </w:r>
      </w:hyperlink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Правительства Ханты-Мансийского авт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номного округа - Югры от 09.10.2013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N 420-п "О государственной программе Ханты-Мансийского автономного округа - Югры "Развитие агропромышленного 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комплекса и рынков сельскохозяйственной продукции, сырья и продовольствия 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Ханты-Мансийском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автономном округе - Югре в 2014 - 2020 годах.</w:t>
      </w:r>
    </w:p>
    <w:bookmarkEnd w:id="23"/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Размер субсидии на приобретение сельскохозяйственной техники, оборуд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вания, оснащения и приспособлений для развития сельского хозяйства и рыбной отрасли составляет не более 50% от затрат на приобретение и не может превышать 500 тыс. рублей в год для одного получателя.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Размер субсидии на приобретение репродуктивных сельскохозяйственных животных составляет не более 50% от затрат на приобретение и не может прев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ы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шать 60 тыс. рублей в год для одного получателя.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4" w:name="sub_1712"/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При превышении суммы субсидии над суммой средств, предусмотренных в бюджете города на текущий год на выплату субсидий по соответствующим направлениям, размер субсидии одному получателю определяется в пределах суммы бюджетных средств по соответствующему направлению, а в случае п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ступления двух и более заявлений о предоставлении субсидии на дату рассмотр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ния комиссией по предоставлению субсидий сельскохозяйственным товаропрои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водителям из бюджета города (далее - комиссия) субсидия предоставляется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ра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мере (в процентах), равном отношению суммы бюджетных сре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дств к с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умме субс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дируемых затрат на приобретение по всем получателям, подавшим заявления по соответствующему направлению.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5" w:name="sub_1713"/>
      <w:bookmarkEnd w:id="24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Субсидия на возмещение части затрат на содержание маточного поголовья сельскохозяйственных животных предоставляется на одну голову в год в размере: коровы - 10 тыс. рублей; </w:t>
      </w:r>
      <w:proofErr w:type="spell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коз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proofErr w:type="spell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(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овце)матки - 700 рублей; конематки - 3 тыс. рублей. </w:t>
      </w:r>
      <w:proofErr w:type="gramStart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При превышении суммы субсидии над суммой средств, предусмотренных в бю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д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жете города на текущий год на выплату субсидий по данному направлению, су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б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сидия одному получателю предоставляется в пределах суммы бюджетных средств, а в случае поступления двух и более заявлений о предоставлении субсидии на дату рассмотрения комиссией размер предоставляемой субсидии определяется из ра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чета субсидии каждому получателю по установленным размерам, умноженной на коэффициент, равный</w:t>
      </w:r>
      <w:proofErr w:type="gramEnd"/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отношению суммы бюджетных средств по данному напра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лению к сумме субсидий, рассчитанной по всем получателям, подавшим заявл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ния.</w:t>
      </w:r>
    </w:p>
    <w:bookmarkEnd w:id="25"/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Предоставление субсидий приостанавливается в случае полного освоения лимитов бюджетных ассигнований, предусмотренных в бюджете города на тек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щий финансовый год.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Главным распорядителем бюджетных средств по предоставлению субсидий является администрация города.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Субсидии предоставляются в заявительном порядке. Один получатель впр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ве обратиться за получением субсидии не более одного раза в год по каждому из направлений поддержки.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Рассмотрение заявления о предоставлении субсидии и принятие решения о предоставлении субсидии (об отказе в предоставлении субсидии) осуществляется комиссией по предоставлению субсидий сельскохозяйственным товаропроизвод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телям из бюджета города не позднее 30 календарных дней со дня регистрации з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явления.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Порядок предоставления субсидий, Положение о комиссии по предоставл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нию субсидий сельскохозяйственным товаропроизводителям из бюджета города и ее состав утверждаются постановлением администрации города.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По мероприятиям задачи 4 за счет субвенций из бюджета автономного окр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га предоставляются субсидии на поддержку сельскохозяйственного производства и деятельности по заготовке и переработке дикоросов в соответствии с законод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тельством и иными нормативными правовыми актами Ханты-Мансийского авт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384E3C">
        <w:rPr>
          <w:rFonts w:ascii="Times New Roman" w:eastAsiaTheme="minorEastAsia" w:hAnsi="Times New Roman"/>
          <w:sz w:val="28"/>
          <w:szCs w:val="28"/>
          <w:lang w:eastAsia="ru-RU"/>
        </w:rPr>
        <w:t>номного округа - Югры.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bookmarkStart w:id="26" w:name="sub_1002"/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sectPr w:rsidR="00384E3C" w:rsidRPr="00384E3C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lastRenderedPageBreak/>
        <w:t>Таблица 2</w:t>
      </w:r>
    </w:p>
    <w:bookmarkEnd w:id="26"/>
    <w:p w:rsidR="00384E3C" w:rsidRPr="00384E3C" w:rsidRDefault="00384E3C" w:rsidP="00384E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</w:pPr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 xml:space="preserve">Перечень </w:t>
      </w:r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br/>
        <w:t xml:space="preserve">основных программных мероприятий муниципальной программы </w:t>
      </w:r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br/>
        <w:t>"Развитие агропромышленного комплекса на территории города Нижн</w:t>
      </w:r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е</w:t>
      </w:r>
      <w:r w:rsidRPr="00384E3C">
        <w:rPr>
          <w:rFonts w:ascii="Times New Roman" w:eastAsiaTheme="minorEastAsia" w:hAnsi="Times New Roman"/>
          <w:b/>
          <w:bCs/>
          <w:color w:val="26282F"/>
          <w:sz w:val="28"/>
          <w:szCs w:val="28"/>
          <w:lang w:eastAsia="ru-RU"/>
        </w:rPr>
        <w:t>вартовска на 2013 - 2015 годы"</w:t>
      </w:r>
    </w:p>
    <w:p w:rsidR="00384E3C" w:rsidRPr="00384E3C" w:rsidRDefault="00384E3C" w:rsidP="00384E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780"/>
        <w:gridCol w:w="2380"/>
        <w:gridCol w:w="1504"/>
        <w:gridCol w:w="1120"/>
        <w:gridCol w:w="1392"/>
        <w:gridCol w:w="1260"/>
        <w:gridCol w:w="2606"/>
      </w:tblGrid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N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gramStart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Ответственный исполн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тель/соисполнители Программы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Финансовые затраты на реализацию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Программы (тыс. рублей)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Источники фина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сирования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 по годам</w:t>
            </w: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2013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2015 год</w:t>
            </w: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Цель: Создание условий для устойчивого развития сельского хозяйства и рыбной отрасли города, повышение конкуре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тоспособности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продукции, произведенной предприятиями агропромышленного комплекса города Нижневартовска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Задача 1. Создание общих условий для функционирования сельского хозяйства и рыбной отрасли в городе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27" w:name="sub_1021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1.</w:t>
            </w:r>
            <w:bookmarkEnd w:id="27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Предоставление субсидий сельскохозяйственным тов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ропроизводителям города (за исключением государстве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ных (муниципальных) учр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ждений) по направлениям: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по 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5 070,0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1 600,0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1 770,0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города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на возмещение части затрат на приобретение сельскох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зяйственной техники, обор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дования, оснащения и пр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способлений для развития сельского хозяйства и ры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ной отрасли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по 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2 550,0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900,0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города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- на возмещение части затрат 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на приобретение репроду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тивных сельскохозяйстве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ных животных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 xml:space="preserve">управление по 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230.0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города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 на возмещение части затрат на содержание маточного п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головья сельскохозяйстве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ных животных по ставке за одну голову в год: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коровы - 10 тыс. рублей;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коз</w:t>
            </w:r>
            <w:proofErr w:type="gramStart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овце)матки - 700 ру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лей;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конематки - 3 тыс. рублей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по 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2 290,0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города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Консультирование по вопр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сам выбора земельных участков для ведения сел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скохозяйственной деятельн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сти и процедуры оформления права на земельные участки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департамент 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ниципальной собственности и земельных ресу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сов администр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 требует фина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сирования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28" w:name="sub_121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Итого по задаче 1</w:t>
            </w:r>
            <w:bookmarkEnd w:id="28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5 070,0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1 600,0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1 700,0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1 770,0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Задача 2. Создание условий для расширения рынка сельскохозяйственной продукции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Оказание содействия в предоставлении торговых мест для продажи сельскох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зяйственной продукции, произведенной гражданами, ведущими крестьянские (фермерские) хозяйства, личные подсобные хозяйства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по 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 требует фина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сирования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Оказание содействия в орг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низации участия сельскох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зяйственных товаропроизв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дителей города в выставках-ярмарках продукции мес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ных товаропроизводителей городского, регионального, федерального уровней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 xml:space="preserve">управление по 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 требует фина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сирования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Итого по задаче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 требует финансирования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Задача 3. Формирование благоприятного общественного мнения и повышение престижа </w:t>
            </w:r>
            <w:proofErr w:type="gramStart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сельскохозяйственной</w:t>
            </w:r>
            <w:proofErr w:type="gramEnd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деятел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ь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ности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Организация и проведение городского конкурса среди сельскохозяйственных тов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ропроизводителей города и граждан, зарегистрирова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ных и осуществляющих пр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изводство сельскохозя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й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ственной продукции на те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ритории города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по 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да;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пресс-служба 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министрации г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1 200,0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города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Проведение социологическ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го исследования методом 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ного интервью с жителями города, руководителями 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ганизаций, осуществляющих производство и реализацию сельскохозяйственной и рыбной продукции, и глав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 крестьянских (ферме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ских) хозяйств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отдел анализа общественного мнения админ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страции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города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Проведение конференций, совещаний, "круглых столов" и других мероприятий в 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ласти сельскохозяйственной деятельности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по 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 требует фина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сирования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Оказание информационной, методической, консульт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тивной поддержки в области сельскохозяйственной де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я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тельности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по 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да;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департамент 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ниципальной собственности и земельных ресу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сов администр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 требует фина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сирования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Публикация в средствах ма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совой информации, разм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щение на официальном сайте органов местного сам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управления города Нижн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вартовска материалов, св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я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занных с реализацией Пр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по 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да;</w:t>
            </w:r>
          </w:p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пресс-служба 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министрации г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 требует фина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сирования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Итого по задаче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1 230,0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430,0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147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Задача 4. Исполнение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29" w:name="sub_41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4.1.</w:t>
            </w:r>
            <w:bookmarkEnd w:id="29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Предоставление субсидий на 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поддержку развития раст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ниеводства, переработки и реализации продукции ра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тениеводства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 xml:space="preserve">управление по 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2 030,6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1 130,6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900,0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 автоно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ного округа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30" w:name="sub_1042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4.2.</w:t>
            </w:r>
            <w:bookmarkEnd w:id="30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Предоставление субсидий на поддержку развития живо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новодства, переработки и р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ализации продукции живо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новодства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по 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123 333,6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82 744,6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40 589,0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 автоно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ного округа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31" w:name="sub_1043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4.3.</w:t>
            </w:r>
            <w:bookmarkEnd w:id="31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Предоставление субсидий на поддержку малых форм х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зяйствования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по 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1 460,0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1 000,0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 автоно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ного округа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Предоставление субсидий на поддержку повышения э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фективности использования и развития ресурсного п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тенциала рыбохозяйственн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го комплекса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по 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23 346,3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19 619,4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3 726,9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 автоно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ного округа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Предоставление субсидий на поддержку развития системы заготовки и переработки д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коросов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управление по потребительск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му рынку адм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нистрации города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137,1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137,1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 автоно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ного округа</w:t>
            </w: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32" w:name="sub_124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Итого по задаче 4</w:t>
            </w:r>
            <w:bookmarkEnd w:id="32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150 307,6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103 954,6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46 353,0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33" w:name="sub_125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Всего по Программе, в том числе:</w:t>
            </w:r>
            <w:bookmarkEnd w:id="33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156 607,6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2 000,0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106 054,6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48553,0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34" w:name="sub_126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 автономного округа</w:t>
            </w:r>
            <w:bookmarkEnd w:id="34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150 307,6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103 954,6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46 353,0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84E3C" w:rsidRPr="00384E3C" w:rsidTr="00482E1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bookmarkStart w:id="35" w:name="sub_127"/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бюджет города</w:t>
            </w:r>
            <w:bookmarkEnd w:id="35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6 300,0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2 000,0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2 100,0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84E3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2 200,0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E3C" w:rsidRPr="00384E3C" w:rsidRDefault="00384E3C" w:rsidP="0038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573AD3" w:rsidRPr="008D0F98" w:rsidRDefault="00573AD3" w:rsidP="00573AD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573AD3" w:rsidRPr="008D0F98" w:rsidSect="00384E3C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64BC"/>
    <w:rsid w:val="001C30B1"/>
    <w:rsid w:val="00225CF0"/>
    <w:rsid w:val="002F3278"/>
    <w:rsid w:val="003406BD"/>
    <w:rsid w:val="00384E3C"/>
    <w:rsid w:val="003C62FF"/>
    <w:rsid w:val="00514F4E"/>
    <w:rsid w:val="00573AD3"/>
    <w:rsid w:val="006E6453"/>
    <w:rsid w:val="008430CF"/>
    <w:rsid w:val="00882128"/>
    <w:rsid w:val="0092157E"/>
    <w:rsid w:val="00DB38C4"/>
    <w:rsid w:val="00E177C9"/>
    <w:rsid w:val="00E60A5F"/>
    <w:rsid w:val="00EA13E4"/>
    <w:rsid w:val="00E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uiPriority w:val="99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F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uiPriority w:val="99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F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13383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881338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4721</Words>
  <Characters>26916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Золкина</cp:lastModifiedBy>
  <cp:revision>5</cp:revision>
  <cp:lastPrinted>2015-04-15T10:24:00Z</cp:lastPrinted>
  <dcterms:created xsi:type="dcterms:W3CDTF">2015-04-20T07:55:00Z</dcterms:created>
  <dcterms:modified xsi:type="dcterms:W3CDTF">2015-04-29T13:50:00Z</dcterms:modified>
</cp:coreProperties>
</file>