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 xml:space="preserve">администрации города</w:t>
      </w:r>
      <w:r/>
    </w:p>
    <w:p>
      <w:pPr>
        <w:ind w:firstLine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Об установлении тарифов на услуги, предоставляемые </w:t>
      </w:r>
      <w:r>
        <w:rPr>
          <w:b/>
          <w:bCs/>
          <w:sz w:val="28"/>
          <w:szCs w:val="28"/>
          <w:highlight w:val="none"/>
        </w:rPr>
        <w:t xml:space="preserve">муниципальным бюджетным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дошкольным образовательным учреждением детским садом №67 </w:t>
      </w:r>
      <w:r>
        <w:rPr>
          <w:b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Умка</w:t>
      </w:r>
      <w:r>
        <w:rPr>
          <w:b/>
          <w:sz w:val="28"/>
          <w:szCs w:val="28"/>
          <w:highlight w:val="none"/>
        </w:rPr>
        <w:t xml:space="preserve">"</w:t>
      </w:r>
      <w:r>
        <w:rPr>
          <w:highlight w:val="none"/>
        </w:rPr>
      </w:r>
      <w:r/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>
        <w:rPr>
          <w:sz w:val="28"/>
          <w:szCs w:val="28"/>
        </w:rPr>
        <w:t xml:space="preserve">в связи повышением тарифов на платные услуги учре</w:t>
      </w:r>
      <w:r>
        <w:rPr>
          <w:sz w:val="28"/>
          <w:szCs w:val="28"/>
        </w:rPr>
        <w:t xml:space="preserve">ждения. </w:t>
      </w:r>
      <w:r/>
    </w:p>
    <w:p>
      <w:pPr>
        <w:ind w:firstLine="708"/>
        <w:jc w:val="both"/>
        <w:spacing w:before="24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Рост тарифов обусловлен </w:t>
      </w:r>
      <w:r>
        <w:rPr>
          <w:sz w:val="28"/>
          <w:szCs w:val="28"/>
          <w:highlight w:val="white"/>
        </w:rPr>
        <w:t xml:space="preserve">изменением в системе оплаты труда работников образовательных учреждений, </w:t>
      </w:r>
      <w:r>
        <w:rPr>
          <w:sz w:val="28"/>
          <w:szCs w:val="28"/>
          <w:highlight w:val="white"/>
        </w:rPr>
        <w:t xml:space="preserve">увеличением стоимости расходных материалов и коммунальных услуг, необходимых при ок</w:t>
      </w:r>
      <w:r>
        <w:rPr>
          <w:sz w:val="28"/>
          <w:szCs w:val="28"/>
          <w:highlight w:val="white"/>
        </w:rPr>
        <w:t xml:space="preserve">азании услуги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Тарифы рассчитаны методом экономически обосн</w:t>
      </w:r>
      <w:r>
        <w:rPr>
          <w:sz w:val="28"/>
          <w:szCs w:val="28"/>
        </w:rPr>
        <w:t xml:space="preserve">ованных расходов,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состав которых </w:t>
      </w:r>
      <w:r>
        <w:rPr>
          <w:sz w:val="28"/>
          <w:szCs w:val="28"/>
        </w:rPr>
        <w:t xml:space="preserve">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28.03.2025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520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зможные риски нарушения антимонопольного законодательства.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835"/>
        <w:tblW w:w="100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>
        <w:trPr>
          <w:trHeight w:val="1953"/>
        </w:trPr>
        <w:tc>
          <w:tcPr>
            <w:tcW w:w="4678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отдела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мониторинга</w:t>
            </w:r>
            <w:r>
              <w:rPr>
                <w:color w:val="000000"/>
                <w:sz w:val="28"/>
                <w:szCs w:val="28"/>
              </w:rPr>
              <w:t xml:space="preserve"> и тариф</w:t>
            </w:r>
            <w:r>
              <w:rPr>
                <w:color w:val="000000"/>
                <w:sz w:val="28"/>
                <w:szCs w:val="28"/>
              </w:rPr>
              <w:t xml:space="preserve">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регулирования управления экономики и </w:t>
            </w:r>
            <w:r>
              <w:rPr>
                <w:color w:val="000000"/>
                <w:sz w:val="28"/>
                <w:szCs w:val="28"/>
              </w:rPr>
              <w:t xml:space="preserve">стратегического планирования </w:t>
            </w:r>
            <w:r>
              <w:rPr>
                <w:color w:val="000000"/>
                <w:sz w:val="28"/>
                <w:szCs w:val="28"/>
              </w:rPr>
              <w:t xml:space="preserve">департамента экономического развития </w:t>
            </w:r>
            <w:r>
              <w:rPr>
                <w:color w:val="000000"/>
                <w:sz w:val="28"/>
                <w:szCs w:val="28"/>
              </w:rPr>
              <w:t xml:space="preserve">администрации города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ind w:right="-256"/>
              <w:jc w:val="lef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  <w:r>
              <w:rPr>
                <w:sz w:val="36"/>
                <w:szCs w:val="36"/>
              </w:rPr>
            </w:r>
            <w:r/>
          </w:p>
        </w:tc>
        <w:tc>
          <w:tcPr>
            <w:tcW w:w="5386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left="0" w:right="351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</w:r>
          </w:p>
          <w:p>
            <w:pPr>
              <w:ind w:left="0" w:right="351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0" w:right="351" w:firstLine="0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   А.М. Фищенко</w:t>
            </w:r>
            <w:r/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0"/>
        </w:rPr>
      </w:r>
      <w:r>
        <w:rPr>
          <w:sz w:val="26"/>
          <w:szCs w:val="20"/>
        </w:rPr>
      </w:r>
      <w:r/>
    </w:p>
    <w:p>
      <w:pPr>
        <w:jc w:val="both"/>
        <w:rPr>
          <w:sz w:val="26"/>
          <w:szCs w:val="26"/>
        </w:rPr>
      </w:pPr>
      <w:r/>
      <w:bookmarkStart w:id="0" w:name="_GoBack"/>
      <w:r/>
      <w:bookmarkEnd w:id="0"/>
      <w:r/>
      <w:r/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35" w:type="dxa"/>
            <w:vAlign w:val="bottom"/>
            <w:textDirection w:val="lrTb"/>
            <w:noWrap/>
          </w:tcPr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Исполнитель:</w:t>
            </w:r>
            <w:r>
              <w:rPr>
                <w:sz w:val="19"/>
                <w:szCs w:val="19"/>
              </w:rPr>
            </w:r>
            <w:r/>
          </w:p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главный специалист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 xml:space="preserve">отдела </w:t>
            </w:r>
            <w:r>
              <w:rPr>
                <w:sz w:val="19"/>
                <w:szCs w:val="19"/>
              </w:rPr>
            </w:r>
            <w:r/>
          </w:p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мониторинга и тарифного </w:t>
            </w:r>
            <w:r>
              <w:rPr>
                <w:sz w:val="19"/>
                <w:szCs w:val="19"/>
              </w:rPr>
            </w:r>
            <w:r/>
          </w:p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регулирования управления </w:t>
            </w:r>
            <w:r>
              <w:rPr>
                <w:sz w:val="19"/>
                <w:szCs w:val="19"/>
              </w:rPr>
            </w:r>
            <w:r/>
          </w:p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экономики и стратегического планирования департамента экономического развития </w:t>
            </w:r>
            <w:r>
              <w:rPr>
                <w:sz w:val="19"/>
                <w:szCs w:val="19"/>
              </w:rPr>
            </w:r>
            <w:r/>
          </w:p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администрации города </w:t>
            </w:r>
            <w:r>
              <w:rPr>
                <w:sz w:val="19"/>
                <w:szCs w:val="19"/>
              </w:rPr>
            </w:r>
            <w:r/>
          </w:p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Кияткина Дарья Юрьевна</w:t>
            </w:r>
            <w:r>
              <w:rPr>
                <w:sz w:val="19"/>
                <w:szCs w:val="19"/>
              </w:rPr>
            </w:r>
            <w:r/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9"/>
                <w:szCs w:val="19"/>
              </w:rPr>
              <w:t xml:space="preserve">тел.: 8 (3466) 24-10-97, доб. 28386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2"/>
    <w:link w:val="837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semiHidden/>
    <w:rPr>
      <w:rFonts w:ascii="Tahoma" w:hAnsi="Tahoma" w:cs="Tahoma"/>
      <w:sz w:val="16"/>
      <w:szCs w:val="16"/>
    </w:rPr>
  </w:style>
  <w:style w:type="paragraph" w:styleId="837">
    <w:name w:val="Header"/>
    <w:basedOn w:val="831"/>
    <w:link w:val="838"/>
    <w:pPr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2"/>
    <w:link w:val="837"/>
    <w:rPr>
      <w:sz w:val="24"/>
      <w:szCs w:val="24"/>
      <w:lang w:val="ru-RU" w:eastAsia="ru-RU" w:bidi="ar-SA"/>
    </w:rPr>
  </w:style>
  <w:style w:type="paragraph" w:styleId="839">
    <w:name w:val="List Paragraph"/>
    <w:basedOn w:val="83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F881D-1BD2-4FD5-BC12-736DA0DE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revision>37</cp:revision>
  <dcterms:created xsi:type="dcterms:W3CDTF">2023-02-08T09:01:00Z</dcterms:created>
  <dcterms:modified xsi:type="dcterms:W3CDTF">2025-12-18T05:46:11Z</dcterms:modified>
</cp:coreProperties>
</file>