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ЦЕЛЕВЫ</w:t>
      </w:r>
      <w:r>
        <w:rPr>
          <w:b/>
          <w:sz w:val="28"/>
          <w:szCs w:val="28"/>
        </w:rPr>
        <w:t xml:space="preserve">Х</w:t>
      </w:r>
      <w:r>
        <w:rPr>
          <w:b/>
          <w:sz w:val="28"/>
          <w:szCs w:val="28"/>
        </w:rPr>
        <w:t xml:space="preserve"> ПОКАЗАТЕЛ</w:t>
      </w:r>
      <w:r>
        <w:rPr>
          <w:b/>
          <w:sz w:val="28"/>
          <w:szCs w:val="28"/>
        </w:rPr>
        <w:t xml:space="preserve">ЕЙ</w:t>
      </w:r>
      <w:r>
        <w:rPr>
          <w:b/>
          <w:sz w:val="28"/>
          <w:szCs w:val="28"/>
        </w:rPr>
        <w:t xml:space="preserve">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3 </w:t>
      </w:r>
      <w:r>
        <w:rPr>
          <w:b/>
          <w:sz w:val="28"/>
          <w:szCs w:val="28"/>
        </w:rPr>
        <w:t xml:space="preserve">«Профилактика незаконного потребления наркотических средств, психотропных веществ»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Профилактика правонарушений</w:t>
      </w:r>
      <w:r>
        <w:rPr>
          <w:b/>
          <w:sz w:val="28"/>
          <w:szCs w:val="28"/>
        </w:rPr>
        <w:t xml:space="preserve"> и терроризма </w:t>
      </w:r>
      <w:r>
        <w:rPr>
          <w:b/>
          <w:sz w:val="28"/>
          <w:szCs w:val="28"/>
        </w:rPr>
        <w:t xml:space="preserve">в городе Нижневартовске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год</w:t>
      </w:r>
      <w:r/>
    </w:p>
    <w:p>
      <w:pPr>
        <w:jc w:val="center"/>
        <w:rPr>
          <w:b/>
        </w:rPr>
      </w:pPr>
      <w:r>
        <w:rPr>
          <w:b/>
        </w:rPr>
      </w:r>
      <w:r/>
    </w:p>
    <w:tbl>
      <w:tblPr>
        <w:tblStyle w:val="663"/>
        <w:tblW w:w="15306" w:type="dxa"/>
        <w:tblLayout w:type="fixed"/>
        <w:tblLook w:val="04A0" w:firstRow="1" w:lastRow="0" w:firstColumn="1" w:lastColumn="0" w:noHBand="0" w:noVBand="1"/>
      </w:tblPr>
      <w:tblGrid>
        <w:gridCol w:w="959"/>
        <w:gridCol w:w="5132"/>
        <w:gridCol w:w="5529"/>
        <w:gridCol w:w="1565"/>
      </w:tblGrid>
      <w:tr>
        <w:trPr/>
        <w:tc>
          <w:tcPr>
            <w:tcW w:w="959" w:type="dxa"/>
            <w:textDirection w:val="lrTb"/>
            <w:noWrap w:val="false"/>
          </w:tcPr>
          <w:p>
            <w:r>
              <w:t xml:space="preserve">№</w:t>
            </w:r>
            <w:r/>
          </w:p>
          <w:p>
            <w:r>
              <w:t xml:space="preserve">п/п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Основное мероприятие (показатели) муниципальной программы /мероприятия плана</w:t>
            </w:r>
            <w:r/>
          </w:p>
          <w:p>
            <w:r/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исполнитель/соисполнители муниципальной программы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Сумма </w:t>
            </w:r>
            <w:r/>
          </w:p>
        </w:tc>
      </w:tr>
      <w:tr>
        <w:trPr>
          <w:trHeight w:val="832"/>
        </w:trPr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.1.</w:t>
            </w:r>
            <w:r/>
          </w:p>
        </w:tc>
        <w:tc>
          <w:tcPr>
            <w:gridSpan w:val="2"/>
            <w:tcW w:w="10661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«Создание условий для антинаркотической пропаганды, организация проведения антинаркотических профилактических мероприятий» 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  <w:t xml:space="preserve">(показател</w:t>
            </w: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1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, 1</w:t>
            </w:r>
            <w:r>
              <w:rPr>
                <w:b/>
              </w:rPr>
              <w:t xml:space="preserve">5</w:t>
            </w:r>
            <w:r>
              <w:rPr>
                <w:b/>
              </w:rPr>
              <w:t xml:space="preserve">)</w:t>
            </w:r>
            <w:r/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1375</w:t>
            </w:r>
            <w:r>
              <w:rPr>
                <w:b/>
              </w:rPr>
              <w:t xml:space="preserve">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3.1.1.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и проведение творческого форума «Ступени!», направленного на формирование здорового образа жизни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№3»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pStyle w:val="665"/>
              <w:jc w:val="center"/>
              <w:rPr>
                <w:highlight w:val="white"/>
              </w:rPr>
            </w:pPr>
            <w:r>
              <w:t xml:space="preserve">96</w:t>
            </w:r>
            <w:r>
              <w:rPr>
                <w:highlight w:val="white"/>
              </w:rPr>
              <w:t xml:space="preserve">,00</w:t>
            </w:r>
            <w:r/>
          </w:p>
          <w:p>
            <w:pPr>
              <w:pStyle w:val="665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3.1.2.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и проведение выставки-конкурса творческих работ «Сделай правильный выбор»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№2»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80,00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3.1.3.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и проведение на базе летнего лагеря "Музыка лета" конкурса рисунков, посвященных Международному дню борьбы с наркоманией, с привлечением детей микро-района (издание рекламных листовок и плакатов из лучших конкурсных работ)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автономное учреждение дополнительного образования города Нижневартовска "Детская музыкальная школа имени Юрия Дмитриевича Кузнецова"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highlight w:val="white"/>
              </w:rPr>
            </w:pPr>
            <w:r>
              <w:t xml:space="preserve">90</w:t>
            </w:r>
            <w:r>
              <w:rPr>
                <w:highlight w:val="white"/>
              </w:rPr>
              <w:t xml:space="preserve">,00</w:t>
            </w:r>
            <w:r/>
          </w:p>
          <w:p>
            <w:pPr>
              <w:pStyle w:val="665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</w:t>
            </w:r>
            <w:r>
              <w:t xml:space="preserve">4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комплексной библиотечной программы «Максимум жизни!»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бюджетное учреждение «Библиотечно-информационная система»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120,0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3.1.5.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фестиваля семейного спорта «Быть здоровым здорово!»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города Нижневартовска «Дирекция спортивных сооружений»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90</w:t>
            </w:r>
            <w:r>
              <w:t xml:space="preserve">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3.1.6.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фестиваля подвижных игр среди дворовых команд «Снежный </w:t>
            </w:r>
            <w:r>
              <w:t xml:space="preserve">микс</w:t>
            </w:r>
            <w:r>
              <w:t xml:space="preserve">».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города Нижневартовска «Дирекция спортивных сооружений»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1</w:t>
            </w:r>
            <w:r>
              <w:t xml:space="preserve">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3.1.7.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физкультурного мероприятия «Нижневартовск – город спорта»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города Нижневартовска «Дирекция спортивных сооружений»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60,0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</w:t>
            </w:r>
            <w:r>
              <w:t xml:space="preserve">8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городской </w:t>
            </w:r>
            <w:r>
              <w:t xml:space="preserve">компетентностной</w:t>
            </w:r>
            <w:r>
              <w:t xml:space="preserve"> школы по пропаганде здорового образа жизни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</w:t>
            </w:r>
            <w:r>
              <w:t xml:space="preserve">,</w:t>
            </w:r>
            <w:r>
              <w:rPr>
                <w:lang w:val="en-US"/>
              </w:rPr>
              <w:t xml:space="preserve">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</w:t>
            </w:r>
            <w:r>
              <w:t xml:space="preserve">9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городских мероприятий «Здоровое поколение», приуроченных к празднованию Всемирного дня отказа от курения (31 мая); Международного Дня борьбы с наркоманией (26 июня)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/>
            <w:r/>
          </w:p>
          <w:p>
            <w:pPr>
              <w:pStyle w:val="665"/>
              <w:jc w:val="center"/>
            </w:pPr>
            <w:r>
              <w:t xml:space="preserve">75,0</w:t>
            </w:r>
            <w:r/>
          </w:p>
          <w:p>
            <w:pPr>
              <w:pStyle w:val="665"/>
              <w:jc w:val="center"/>
            </w:pPr>
            <w:r/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</w:t>
            </w:r>
            <w:r>
              <w:t xml:space="preserve">10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</w:t>
            </w:r>
            <w:r>
              <w:t xml:space="preserve">роведение игровых программ </w:t>
            </w:r>
            <w:r>
              <w:t xml:space="preserve">«</w:t>
            </w:r>
            <w:r>
              <w:t xml:space="preserve">Здоровые дети – будущее России</w:t>
            </w:r>
            <w:r>
              <w:t xml:space="preserve">»</w:t>
            </w:r>
            <w:r>
              <w:t xml:space="preserve"> для детей и подростков, проживающих в отдаленных микрорайонах, поселках города 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70,0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</w:t>
            </w: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городского слета для детей и подростков </w:t>
            </w:r>
            <w:r>
              <w:t xml:space="preserve">«</w:t>
            </w:r>
            <w:r>
              <w:t xml:space="preserve">В ритме жизни</w:t>
            </w:r>
            <w:r>
              <w:t xml:space="preserve">»</w:t>
            </w:r>
            <w:r>
              <w:t xml:space="preserve"> по пропаганде здорового образа жизни 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85,0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.1.1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соревнований по спортивному ориентированию для подростков и молодежи «Югорский азимут»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75</w:t>
            </w:r>
            <w:r>
              <w:t xml:space="preserve">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.1.1</w:t>
            </w:r>
            <w:r>
              <w:t xml:space="preserve">3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выставки-конкурса технического творчества «</w:t>
            </w:r>
            <w:r>
              <w:t xml:space="preserve">Технофорум</w:t>
            </w:r>
            <w:r>
              <w:t xml:space="preserve">»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75</w:t>
            </w:r>
            <w:r>
              <w:t xml:space="preserve">,0</w:t>
            </w:r>
            <w:r/>
          </w:p>
          <w:p>
            <w:pPr>
              <w:pStyle w:val="665"/>
              <w:jc w:val="center"/>
            </w:pPr>
            <w:r/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.1.1</w:t>
            </w:r>
            <w:r>
              <w:t xml:space="preserve">4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объединений естественно-научной, технической направленности в организациях дополнительного образования детей (приобретение оборудования)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75,0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3.1.1</w:t>
            </w:r>
            <w:r>
              <w:t xml:space="preserve">5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Организации и проведения конкурса мультимедийной презентации по формированию законопослушного поведения в области антинаркотического законодательства, повышению правовой грамотности в подростковой и молодежной среде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города Нижневартовска «Центр развития образования»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45,0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</w:t>
            </w:r>
            <w:r>
              <w:t xml:space="preserve">16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r>
              <w:t xml:space="preserve">Организация и проведение мероприятия «</w:t>
            </w:r>
            <w:r>
              <w:t xml:space="preserve">Фестиваль дворовых игр</w:t>
            </w:r>
            <w:r>
              <w:t xml:space="preserve">»</w:t>
            </w:r>
            <w:r>
              <w:t xml:space="preserve"> 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города Нижневартовска </w:t>
            </w:r>
            <w:r>
              <w:t xml:space="preserve">«</w:t>
            </w:r>
            <w:r>
              <w:t xml:space="preserve">Молодежный центр</w:t>
            </w:r>
            <w:r>
              <w:t xml:space="preserve">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112,00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.1.</w:t>
            </w:r>
            <w:r>
              <w:t xml:space="preserve">17</w:t>
            </w:r>
            <w:r>
              <w:t xml:space="preserve">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pStyle w:val="672"/>
            </w:pPr>
            <w:r>
              <w:t xml:space="preserve">Организация и проведение мероприятия «</w:t>
            </w:r>
            <w:r>
              <w:t xml:space="preserve">Фестиваль уличных видов спорта</w:t>
            </w:r>
            <w:r>
              <w:t xml:space="preserve">»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города Нижневартовска «Молодежный центр»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117,00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3.2.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«Проведение конкурсов проектов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(программ) в сфере профилактики наркомании»</w:t>
            </w:r>
            <w:r/>
          </w:p>
          <w:p>
            <w:pPr>
              <w:pStyle w:val="673"/>
              <w:ind w:firstLine="0"/>
              <w:jc w:val="both"/>
              <w:rPr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(показател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b/>
              </w:rPr>
            </w:pPr>
            <w:r>
              <w:rPr>
                <w:b/>
              </w:rPr>
              <w:t xml:space="preserve">236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5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3.3.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Приобретение и внедрение профилактических, диагностических программ по работе с семьей, детьми и подростками. Проведение развивающих занятий по формированию навыков </w:t>
            </w:r>
            <w:r>
              <w:rPr>
                <w:b/>
              </w:rPr>
              <w:t xml:space="preserve">ассертивного</w:t>
            </w:r>
            <w:r>
              <w:rPr>
                <w:b/>
              </w:rPr>
              <w:t xml:space="preserve"> (уверенного) поведения (показатели 1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 xml:space="preserve">15</w:t>
            </w:r>
            <w:r>
              <w:rPr>
                <w:b/>
              </w:rPr>
              <w:t xml:space="preserve">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департамент образования администрации города;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муниципальное автономное учреждение города Нижневартовска «Центр развития образования»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b/>
              </w:rPr>
            </w:pPr>
            <w:r>
              <w:rPr>
                <w:b/>
              </w:rPr>
              <w:t xml:space="preserve">50,0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3.4.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«Организация и проведение семинаров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мастер-классов, конференций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педагогической общественности по вопросам профилактики наркомании»</w:t>
            </w:r>
            <w:r/>
          </w:p>
          <w:p>
            <w:pPr>
              <w:pStyle w:val="673"/>
              <w:ind w:firstLine="0"/>
              <w:jc w:val="both"/>
              <w:rPr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(показател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департамент образования администрации города; муниципальные учреждения в сфере образования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b/>
              </w:rPr>
            </w:pPr>
            <w:r>
              <w:rPr>
                <w:b/>
              </w:rPr>
              <w:t xml:space="preserve">100,0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3.5.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«Изготовл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ение, размещение, распространение информационно-справочных материалов, направленных на профилактику незаконного потребления наркотических средств, психотропных веществ, правовое просвещение и правовое информирование населения, антинаркотическую пропаганду»</w:t>
            </w:r>
            <w:r/>
          </w:p>
          <w:p>
            <w:pPr>
              <w:pStyle w:val="673"/>
              <w:ind w:firstLine="0"/>
              <w:jc w:val="both"/>
              <w:rPr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(показатели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по вопросам законности, правопорядка и безопасности администрации города;</w:t>
            </w:r>
            <w:r/>
          </w:p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департамент общественных коммуникаций и молодежной политики администрации города;</w:t>
            </w:r>
            <w:r/>
          </w:p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b/>
              </w:rPr>
            </w:pPr>
            <w:r>
              <w:rPr>
                <w:b/>
              </w:rPr>
              <w:t xml:space="preserve">400</w:t>
            </w:r>
            <w:r>
              <w:rPr>
                <w:b/>
              </w:rPr>
              <w:t xml:space="preserve">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3.</w:t>
            </w:r>
            <w:r>
              <w:t xml:space="preserve">5</w:t>
            </w:r>
            <w:r>
              <w:t xml:space="preserve">.1.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создания и проката в </w:t>
            </w:r>
            <w:r>
              <w:t xml:space="preserve">телевизионных эфирах, </w:t>
            </w:r>
            <w:r>
              <w:t xml:space="preserve">информационно-телекоммуникационной сети Интернет</w:t>
            </w:r>
            <w:r>
              <w:t xml:space="preserve"> </w:t>
            </w:r>
            <w:r>
              <w:t xml:space="preserve"> социальных видеороликов, направленных на </w:t>
            </w:r>
            <w:r>
              <w:t xml:space="preserve">профилактику незаконного потребления </w:t>
            </w:r>
            <w:r>
              <w:t xml:space="preserve">наркотических средств, психотропных веществ, антинаркотическую пропаганду</w:t>
            </w:r>
            <w:r>
              <w:t xml:space="preserve"> 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департамент общественных коммуникаций</w:t>
            </w:r>
            <w:r>
              <w:t xml:space="preserve"> и молодежной политики </w:t>
            </w:r>
            <w:r>
              <w:t xml:space="preserve">администрации города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270</w:t>
            </w:r>
            <w:r>
              <w:t xml:space="preserve">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3.</w:t>
            </w:r>
            <w:r>
              <w:t xml:space="preserve">5</w:t>
            </w:r>
            <w:r>
              <w:t xml:space="preserve">.2.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Размещение информации, направленной на </w:t>
            </w:r>
            <w:r>
              <w:t xml:space="preserve">профилактику незаконного потребления наркотических средств, психотропных веществ, антинаркотическую пропаганду</w:t>
            </w:r>
            <w:r>
              <w:t xml:space="preserve"> на рекламных конструкциях </w:t>
            </w:r>
            <w:r>
              <w:t xml:space="preserve">города </w:t>
            </w:r>
            <w:r>
              <w:t xml:space="preserve">(баннерах)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60,</w:t>
            </w:r>
            <w:r>
              <w:t xml:space="preserve">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3.5.3.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подготовки и выпуска информационно-справочных материалов, направленных на </w:t>
            </w:r>
            <w:r>
              <w:t xml:space="preserve">профилактику незаконного потребления наркотических средств, психотропных веществ, антинаркотическую пропаганду</w:t>
            </w:r>
            <w:r>
              <w:t xml:space="preserve"> </w:t>
            </w:r>
            <w:r>
              <w:t xml:space="preserve">(буклеты, листовки, памятки, брошюры)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40</w:t>
            </w:r>
            <w:r>
              <w:t xml:space="preserve">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3.5.4.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</w:pPr>
            <w:r>
              <w:t xml:space="preserve">Приобретение демонстрационных материалов, наглядных пособий по профилактике наркомании, антинаркотической пропаганде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r>
              <w:t xml:space="preserve">муниципальное автономное учреждение города Нижневартовска «Центр развития образования»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</w:pPr>
            <w:r>
              <w:t xml:space="preserve">30,0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3.6.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«Организация мероприятий по созданию условий для разработки молодежной социальной рекламы, направленной на профилактику незаконного потребления наркотических средств, психотропных веществ, антинаркотическую пропаганду»</w:t>
            </w:r>
            <w:r/>
          </w:p>
          <w:p>
            <w:pPr>
              <w:pStyle w:val="67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(показатели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,13,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департамент общественных коммуникаций</w:t>
            </w:r>
            <w:r>
              <w:rPr>
                <w:b/>
              </w:rPr>
              <w:t xml:space="preserve"> и молодежной политики </w:t>
            </w:r>
            <w:r>
              <w:rPr>
                <w:b/>
              </w:rPr>
              <w:t xml:space="preserve">администрации города; муниципальное автономное учреждение города Нижневартовска  «Молодежный центр»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00,0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3.7.</w:t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Проведение социологических исследований </w:t>
            </w:r>
            <w:r>
              <w:rPr>
                <w:b/>
              </w:rPr>
              <w:br/>
              <w:t xml:space="preserve">(показатель 1</w:t>
            </w: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)</w:t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департамент общественных коммуникаций</w:t>
            </w:r>
            <w:r>
              <w:rPr>
                <w:b/>
              </w:rPr>
              <w:t xml:space="preserve"> и молодежной политики </w:t>
            </w:r>
            <w:r>
              <w:rPr>
                <w:b/>
              </w:rPr>
              <w:t xml:space="preserve"> администрации города</w:t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b/>
              </w:rPr>
            </w:pPr>
            <w:r>
              <w:rPr>
                <w:b/>
              </w:rPr>
              <w:t xml:space="preserve">38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5</w:t>
            </w:r>
            <w:r/>
          </w:p>
        </w:tc>
      </w:tr>
      <w:tr>
        <w:trPr/>
        <w:tc>
          <w:tcPr>
            <w:tcW w:w="9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5132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по </w:t>
            </w:r>
            <w:r>
              <w:rPr>
                <w:b/>
              </w:rPr>
              <w:t xml:space="preserve">задаче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5529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pStyle w:val="665"/>
              <w:jc w:val="center"/>
              <w:rPr>
                <w:b/>
              </w:rPr>
            </w:pPr>
            <w:r>
              <w:rPr>
                <w:b/>
              </w:rPr>
              <w:t xml:space="preserve">2 400,0</w:t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sectPr>
      <w:headerReference w:type="default" r:id="rId8"/>
      <w:footnotePr/>
      <w:endnotePr/>
      <w:type w:val="nextPage"/>
      <w:pgSz w:w="16838" w:h="11906" w:orient="landscape"/>
      <w:pgMar w:top="568" w:right="1134" w:bottom="42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7418921"/>
      <w:docPartObj>
        <w:docPartGallery w:val="Page Numbers (Top of Page)"/>
        <w:docPartUnique w:val="true"/>
      </w:docPartObj>
      <w:rPr/>
    </w:sdtPr>
    <w:sdtContent>
      <w:p>
        <w:pPr>
          <w:pStyle w:val="66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66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8"/>
    <w:uiPriority w:val="99"/>
  </w:style>
  <w:style w:type="character" w:styleId="45">
    <w:name w:val="Footer Char"/>
    <w:basedOn w:val="660"/>
    <w:link w:val="670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0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table" w:styleId="663">
    <w:name w:val="Table Grid"/>
    <w:basedOn w:val="6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4">
    <w:name w:val="Hyperlink"/>
    <w:rPr>
      <w:color w:val="0000ff"/>
      <w:u w:val="single"/>
    </w:rPr>
  </w:style>
  <w:style w:type="paragraph" w:styleId="66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6">
    <w:name w:val="Balloon Text"/>
    <w:basedOn w:val="659"/>
    <w:link w:val="667"/>
    <w:uiPriority w:val="99"/>
    <w:semiHidden/>
    <w:unhideWhenUsed/>
    <w:rPr>
      <w:rFonts w:ascii="Tahoma" w:hAnsi="Tahoma" w:cs="Tahoma"/>
      <w:sz w:val="16"/>
      <w:szCs w:val="16"/>
    </w:rPr>
  </w:style>
  <w:style w:type="character" w:styleId="667" w:customStyle="1">
    <w:name w:val="Текст выноски Знак"/>
    <w:basedOn w:val="660"/>
    <w:link w:val="66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68">
    <w:name w:val="Header"/>
    <w:basedOn w:val="659"/>
    <w:link w:val="6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60"/>
    <w:link w:val="6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0">
    <w:name w:val="Footer"/>
    <w:basedOn w:val="659"/>
    <w:link w:val="6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basedOn w:val="660"/>
    <w:link w:val="6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73" w:customStyle="1">
    <w:name w:val="ConsPlusNormal"/>
    <w:link w:val="674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674" w:customStyle="1">
    <w:name w:val="ConsPlusNormal Знак"/>
    <w:link w:val="673"/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Галина Федоровна</dc:creator>
  <cp:revision>18</cp:revision>
  <dcterms:created xsi:type="dcterms:W3CDTF">2024-01-09T10:45:00Z</dcterms:created>
  <dcterms:modified xsi:type="dcterms:W3CDTF">2024-09-18T06:14:59Z</dcterms:modified>
</cp:coreProperties>
</file>