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43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435F9" w:rsidRDefault="00125F5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5F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35F9" w:rsidRDefault="00125F5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ХМАО - Югры от 10.11.2023 N 554-п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государственной программе Ханты-Мансийского автономного округа - Югры "Развитие агропромышленного комплекса"</w:t>
            </w:r>
          </w:p>
        </w:tc>
      </w:tr>
      <w:tr w:rsidR="004435F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35F9" w:rsidRDefault="00125F5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435F9" w:rsidRDefault="004435F9">
      <w:pPr>
        <w:pStyle w:val="ConsPlusNormal0"/>
        <w:sectPr w:rsidR="004435F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435F9" w:rsidRDefault="004435F9">
      <w:pPr>
        <w:pStyle w:val="ConsPlusNormal0"/>
        <w:outlineLvl w:val="0"/>
      </w:pPr>
    </w:p>
    <w:p w:rsidR="004435F9" w:rsidRDefault="00125F54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4435F9" w:rsidRDefault="004435F9">
      <w:pPr>
        <w:pStyle w:val="ConsPlusTitle0"/>
        <w:jc w:val="center"/>
      </w:pPr>
    </w:p>
    <w:p w:rsidR="004435F9" w:rsidRDefault="00125F54">
      <w:pPr>
        <w:pStyle w:val="ConsPlusTitle0"/>
        <w:jc w:val="center"/>
      </w:pPr>
      <w:r>
        <w:t>ПОСТАНОВЛЕНИЕ</w:t>
      </w:r>
    </w:p>
    <w:p w:rsidR="004435F9" w:rsidRDefault="00125F54">
      <w:pPr>
        <w:pStyle w:val="ConsPlusTitle0"/>
        <w:jc w:val="center"/>
      </w:pPr>
      <w:r>
        <w:t>от 10 ноября 2023 г. N 554-п</w:t>
      </w:r>
    </w:p>
    <w:p w:rsidR="004435F9" w:rsidRDefault="004435F9">
      <w:pPr>
        <w:pStyle w:val="ConsPlusTitle0"/>
        <w:jc w:val="center"/>
      </w:pPr>
    </w:p>
    <w:p w:rsidR="004435F9" w:rsidRDefault="00125F54">
      <w:pPr>
        <w:pStyle w:val="ConsPlusTitle0"/>
        <w:jc w:val="center"/>
      </w:pPr>
      <w:r>
        <w:t>О ГОСУДАРСТВЕННОЙ ПРОГРАММЕ ХАНТЫ-МАНСИЙСКОГО АВТОНОМНОГО</w:t>
      </w:r>
    </w:p>
    <w:p w:rsidR="004435F9" w:rsidRDefault="00125F54">
      <w:pPr>
        <w:pStyle w:val="ConsPlusTitle0"/>
        <w:jc w:val="center"/>
      </w:pPr>
      <w:r>
        <w:t>ОКРУГА - ЮГРЫ "РАЗВИТИЕ АГРОПРОМЫШЛЕННОГО КОМПЛЕКСА"</w:t>
      </w:r>
    </w:p>
    <w:p w:rsidR="004435F9" w:rsidRDefault="0044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4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35F9" w:rsidRDefault="00125F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35F9" w:rsidRDefault="00125F5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26.01.2024 N 20-п,</w:t>
            </w:r>
          </w:p>
          <w:p w:rsidR="004435F9" w:rsidRDefault="00125F54">
            <w:pPr>
              <w:pStyle w:val="ConsPlusNormal0"/>
              <w:jc w:val="center"/>
            </w:pPr>
            <w:r>
              <w:rPr>
                <w:color w:val="392C69"/>
              </w:rPr>
              <w:t>от 01.03.2024 N 71-п, от 09.09.2024 N 330-п, от 28.12.2024 N 574-п)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</w:tr>
    </w:tbl>
    <w:p w:rsidR="004435F9" w:rsidRDefault="004435F9">
      <w:pPr>
        <w:pStyle w:val="ConsPlusNormal0"/>
        <w:ind w:firstLine="540"/>
        <w:jc w:val="both"/>
      </w:pPr>
    </w:p>
    <w:p w:rsidR="004435F9" w:rsidRDefault="00125F54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 Правительства Ханты-Мансийско</w:t>
      </w:r>
      <w:r>
        <w:t>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совета при Департаменте промышленности Ханты-Мансийского ав</w:t>
      </w:r>
      <w:r>
        <w:t>тономного округа - Югры (протокол заседания от 10 октября 2023 года N 21), Правительство Ханты-Мансийского автономного округа - Югры постановляет: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47" w:tooltip="ГОСУДАРСТВЕННАЯ ПРОГРАММА">
        <w:r>
          <w:rPr>
            <w:color w:val="0000FF"/>
          </w:rPr>
          <w:t>программу</w:t>
        </w:r>
      </w:hyperlink>
      <w:r>
        <w:t xml:space="preserve"> Х</w:t>
      </w:r>
      <w:r>
        <w:t>анты-Мансийского автономного округа - Югры "Развитие агропромышленного комплекса" (далее - государственная программа).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2. Определить Департамент промышленности Ханты-Мансийского автономного округа - Югры ответственным исполнителем государственной программы</w:t>
      </w:r>
      <w:r>
        <w:t>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3.1. Постановления Правительства Ханты-Мансийского автономного округа - Югры: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от 25 февраля 2022 года N 64-п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</w:t>
      </w:r>
      <w:r>
        <w:t xml:space="preserve"> агропромышленного комплекса";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 xml:space="preserve">от 11 ноября 2022 года N 588-п "О внесении изменений в постановление Правительства Ханты-Мансийского автономного округа - Югры от 31 октября 2021 года N 473-п "О государственной программе Ханты-Мансийского автономного округа </w:t>
      </w:r>
      <w:r>
        <w:t>- Югры "Развитие агропромышленного комплекса";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от 10 марта 2023 года N 85-п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</w:t>
      </w:r>
      <w:r>
        <w:t>нсийского автономного округа - Югры "Развитие агропромышленного комплекса";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lastRenderedPageBreak/>
        <w:t>от 14 апреля 2023 года N 143-п "О внесении изменений в приложение 1 к постановлению Правительства Ханты-Мансийского автономного округа - Югры от 31 октября 2021 года N 473-п "О гос</w:t>
      </w:r>
      <w:r>
        <w:t>ударственной программе Ханты-Мансийского автономного округа - Югры "Развитие агропромышленного комплекса";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 xml:space="preserve">от 27 октября 2023 года N 526-п "О внесении изменений в приложение 1 к постановлению Правительства Ханты-Мансийского автономного округа - Югры от 31 </w:t>
      </w:r>
      <w:r>
        <w:t>октября 2021 года N 473-п "О государственной программе Ханты-Мансийского автономного округа - Югры "Развитие агропромышленного комплекса".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3.2. Пункт 1 постановления Правительства Ханты-Мансийского автономного округа - Югры от 13 мая 2022 года N 192-п "О в</w:t>
      </w:r>
      <w:r>
        <w:t>несении изменений в некоторые постановления Правительства Ханты-Мансийского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3.3. Пункт 1 постановления Правительства Ханты-Мансийского автономного округа - Югры от 8 июля 2022 года N 317-п "О внесении изменений в некоторые поста</w:t>
      </w:r>
      <w:r>
        <w:t>новления Правительства Ханты-Мансийского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3.4. Пункт 1 постановления Правительства Ханты-Мансийского автономного округа - Югры от 12 августа 2022 года N 385-п "О внесении изменений в некоторые постановления Правительства Ханты-Ма</w:t>
      </w:r>
      <w:r>
        <w:t>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 xml:space="preserve">3.5. Пункт 1 постановления Правительства Ханты-Мансийского автономного округа - Югры от 1 сентября 2022 года N 420-п "О внесении изменений в некоторые постановления Правительства Ханты-Мансийского автономного округа - </w:t>
      </w:r>
      <w:r>
        <w:t>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3.6. Пункт 1 постановления Правительства Ханты-Мансийского автономного округа - Югры от 7 октября 2022 года N 493-п "О внесении изменений в некоторые постановления Правительства Ханты-Мансийского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3.7. Пункт 1 постановлени</w:t>
      </w:r>
      <w:r>
        <w:t>я Правительства Ханты-Мансийского автономного округа - Югры от 2 декабря 2022 года N 646-п "О внесении изменений в некоторые постановления Правительства Ханты-Мансийского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3.8. Пункт 1 постановления Правительства Ханты-Мансийског</w:t>
      </w:r>
      <w:r>
        <w:t>о автономного округа - Югры от 19 мая 2023 года N 222-п "О внесении изменений в некоторые постановления Правительства Ханты-Мансийского автономного округа - Югры".</w:t>
      </w:r>
    </w:p>
    <w:p w:rsidR="004435F9" w:rsidRDefault="00125F54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2024 года.</w:t>
      </w:r>
    </w:p>
    <w:p w:rsidR="004435F9" w:rsidRDefault="004435F9">
      <w:pPr>
        <w:pStyle w:val="ConsPlusNormal0"/>
        <w:ind w:firstLine="540"/>
        <w:jc w:val="both"/>
      </w:pPr>
    </w:p>
    <w:p w:rsidR="004435F9" w:rsidRDefault="00125F54">
      <w:pPr>
        <w:pStyle w:val="ConsPlusNormal0"/>
        <w:jc w:val="right"/>
      </w:pPr>
      <w:r>
        <w:t>Губернатор</w:t>
      </w:r>
    </w:p>
    <w:p w:rsidR="004435F9" w:rsidRDefault="00125F54">
      <w:pPr>
        <w:pStyle w:val="ConsPlusNormal0"/>
        <w:jc w:val="right"/>
      </w:pPr>
      <w:r>
        <w:t>Ханты-Мансийско</w:t>
      </w:r>
      <w:r>
        <w:t>го</w:t>
      </w:r>
    </w:p>
    <w:p w:rsidR="004435F9" w:rsidRDefault="00125F54">
      <w:pPr>
        <w:pStyle w:val="ConsPlusNormal0"/>
        <w:jc w:val="right"/>
      </w:pPr>
      <w:r>
        <w:t>автономного округа - Югры</w:t>
      </w:r>
    </w:p>
    <w:p w:rsidR="004435F9" w:rsidRDefault="00125F54">
      <w:pPr>
        <w:pStyle w:val="ConsPlusNormal0"/>
        <w:jc w:val="right"/>
      </w:pPr>
      <w:r>
        <w:t>Н.В.КОМАРОВА</w:t>
      </w:r>
    </w:p>
    <w:p w:rsidR="004435F9" w:rsidRDefault="004435F9">
      <w:pPr>
        <w:pStyle w:val="ConsPlusNormal0"/>
      </w:pPr>
    </w:p>
    <w:p w:rsidR="004435F9" w:rsidRDefault="004435F9">
      <w:pPr>
        <w:pStyle w:val="ConsPlusNormal0"/>
      </w:pPr>
    </w:p>
    <w:p w:rsidR="004435F9" w:rsidRDefault="004435F9">
      <w:pPr>
        <w:pStyle w:val="ConsPlusNormal0"/>
      </w:pPr>
    </w:p>
    <w:p w:rsidR="004435F9" w:rsidRDefault="004435F9">
      <w:pPr>
        <w:pStyle w:val="ConsPlusNormal0"/>
      </w:pPr>
    </w:p>
    <w:p w:rsidR="004435F9" w:rsidRDefault="004435F9">
      <w:pPr>
        <w:pStyle w:val="ConsPlusNormal0"/>
      </w:pPr>
    </w:p>
    <w:p w:rsidR="004435F9" w:rsidRDefault="00125F54">
      <w:pPr>
        <w:pStyle w:val="ConsPlusNormal0"/>
        <w:jc w:val="right"/>
        <w:outlineLvl w:val="0"/>
      </w:pPr>
      <w:r>
        <w:t>Приложение</w:t>
      </w:r>
    </w:p>
    <w:p w:rsidR="004435F9" w:rsidRDefault="00125F54">
      <w:pPr>
        <w:pStyle w:val="ConsPlusNormal0"/>
        <w:jc w:val="right"/>
      </w:pPr>
      <w:r>
        <w:t>к постановлению</w:t>
      </w:r>
    </w:p>
    <w:p w:rsidR="004435F9" w:rsidRDefault="00125F54">
      <w:pPr>
        <w:pStyle w:val="ConsPlusNormal0"/>
        <w:jc w:val="right"/>
      </w:pPr>
      <w:r>
        <w:t>Правительства Ханты-Мансийского</w:t>
      </w:r>
    </w:p>
    <w:p w:rsidR="004435F9" w:rsidRDefault="00125F54">
      <w:pPr>
        <w:pStyle w:val="ConsPlusNormal0"/>
        <w:jc w:val="right"/>
      </w:pPr>
      <w:r>
        <w:t>автономного округа - Югры</w:t>
      </w:r>
    </w:p>
    <w:p w:rsidR="004435F9" w:rsidRDefault="00125F54">
      <w:pPr>
        <w:pStyle w:val="ConsPlusNormal0"/>
        <w:jc w:val="right"/>
      </w:pPr>
      <w:r>
        <w:t>от 10 ноября 2023 года N 554-п</w:t>
      </w:r>
    </w:p>
    <w:p w:rsidR="004435F9" w:rsidRDefault="004435F9">
      <w:pPr>
        <w:pStyle w:val="ConsPlusNormal0"/>
      </w:pPr>
    </w:p>
    <w:p w:rsidR="004435F9" w:rsidRDefault="00125F54">
      <w:pPr>
        <w:pStyle w:val="ConsPlusTitle0"/>
        <w:jc w:val="center"/>
      </w:pPr>
      <w:bookmarkStart w:id="1" w:name="P47"/>
      <w:bookmarkEnd w:id="1"/>
      <w:r>
        <w:t>ГОСУДАРСТВЕННАЯ ПРОГРАММА</w:t>
      </w:r>
    </w:p>
    <w:p w:rsidR="004435F9" w:rsidRDefault="00125F54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4435F9" w:rsidRDefault="00125F54">
      <w:pPr>
        <w:pStyle w:val="ConsPlusTitle0"/>
        <w:jc w:val="center"/>
      </w:pPr>
      <w:r>
        <w:t>АГРОПРОМЫШЛЕННОГО КОМПЛЕКСА" (ДАЛЕЕ - ГОСУДАРСТВЕННАЯ</w:t>
      </w:r>
    </w:p>
    <w:p w:rsidR="004435F9" w:rsidRDefault="00125F54">
      <w:pPr>
        <w:pStyle w:val="ConsPlusTitle0"/>
        <w:jc w:val="center"/>
      </w:pPr>
      <w:r>
        <w:t>ПРОГРАММА)</w:t>
      </w:r>
    </w:p>
    <w:p w:rsidR="004435F9" w:rsidRDefault="004435F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43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35F9" w:rsidRDefault="00125F5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35F9" w:rsidRDefault="00125F5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ХМАО - Югры от 28.12.2024 N 574-п)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F9" w:rsidRDefault="004435F9">
            <w:pPr>
              <w:pStyle w:val="ConsPlusNormal0"/>
            </w:pPr>
          </w:p>
        </w:tc>
      </w:tr>
    </w:tbl>
    <w:p w:rsidR="004435F9" w:rsidRDefault="004435F9">
      <w:pPr>
        <w:pStyle w:val="ConsPlusNormal0"/>
        <w:jc w:val="center"/>
      </w:pPr>
    </w:p>
    <w:p w:rsidR="004435F9" w:rsidRDefault="00125F54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4435F9" w:rsidRDefault="004435F9">
      <w:pPr>
        <w:pStyle w:val="ConsPlusNormal0"/>
        <w:jc w:val="center"/>
      </w:pPr>
    </w:p>
    <w:p w:rsidR="004435F9" w:rsidRDefault="00125F54">
      <w:pPr>
        <w:pStyle w:val="ConsPlusTitle0"/>
        <w:jc w:val="center"/>
        <w:outlineLvl w:val="2"/>
      </w:pPr>
      <w:r>
        <w:t>1. Основные положения</w:t>
      </w:r>
    </w:p>
    <w:p w:rsidR="004435F9" w:rsidRDefault="004435F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t>Огородникова Наталья Юрьевна - заместитель Губернатора Ханты-Мансийского автономного округа - Югры</w:t>
            </w:r>
          </w:p>
        </w:tc>
      </w:tr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t>Департамент промышленности Ханты-Мансийского автономного округа - Югры (далее - автономный округ, Деппромышленности Югры)</w:t>
            </w:r>
          </w:p>
        </w:tc>
      </w:tr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Период реализации государственной программы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t>2025 - 2030</w:t>
            </w:r>
          </w:p>
        </w:tc>
      </w:tr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t>Устойчивое развитие агропромышленного комплек</w:t>
            </w:r>
            <w:r>
              <w:t>са и сельских территорий, повышение конкурентоспособности произведенной в автономном округе сельскохозяйственной продукции</w:t>
            </w:r>
          </w:p>
        </w:tc>
      </w:tr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t>8 103 508,2 тыс. рублей</w:t>
            </w:r>
          </w:p>
        </w:tc>
      </w:tr>
      <w:tr w:rsidR="004435F9">
        <w:tc>
          <w:tcPr>
            <w:tcW w:w="2948" w:type="dxa"/>
          </w:tcPr>
          <w:p w:rsidR="004435F9" w:rsidRDefault="00125F54">
            <w:pPr>
              <w:pStyle w:val="ConsPlusNormal0"/>
            </w:pPr>
            <w:r>
              <w:t>Связь с национальными целями развития Российской Ф</w:t>
            </w:r>
            <w:r>
              <w:t xml:space="preserve">едерации/ государственными программами Российской </w:t>
            </w:r>
            <w:r>
              <w:lastRenderedPageBreak/>
              <w:t>Федерации</w:t>
            </w:r>
          </w:p>
        </w:tc>
        <w:tc>
          <w:tcPr>
            <w:tcW w:w="6066" w:type="dxa"/>
          </w:tcPr>
          <w:p w:rsidR="004435F9" w:rsidRDefault="00125F54">
            <w:pPr>
              <w:pStyle w:val="ConsPlusNormal0"/>
            </w:pPr>
            <w:r>
              <w:lastRenderedPageBreak/>
              <w:t>1. Устойчивая и динамичная экономика:</w:t>
            </w:r>
          </w:p>
          <w:p w:rsidR="004435F9" w:rsidRDefault="00125F54">
            <w:pPr>
              <w:pStyle w:val="ConsPlusNormal0"/>
            </w:pPr>
            <w:r>
              <w:t>1.1. Показатель "Увеличение к 2030 году объема производства продукции агропромышленного комплекса не менее чем на 25 процентов по сравнению с уровнем 2021 год</w:t>
            </w:r>
            <w:r>
              <w:t>а".</w:t>
            </w:r>
          </w:p>
          <w:p w:rsidR="004435F9" w:rsidRDefault="00125F54">
            <w:pPr>
              <w:pStyle w:val="ConsPlusNormal0"/>
            </w:pPr>
            <w:r>
              <w:lastRenderedPageBreak/>
              <w:t>1.2. Показатель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</w:t>
            </w:r>
            <w:r>
              <w:t xml:space="preserve">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безработицы".</w:t>
            </w:r>
          </w:p>
          <w:p w:rsidR="004435F9" w:rsidRDefault="00125F54">
            <w:pPr>
              <w:pStyle w:val="ConsPlusNormal0"/>
            </w:pPr>
            <w:r>
              <w:t>1.3. Показатель "Обеспечение устойчивого роста доходов населения и уровня пенсионного обес</w:t>
            </w:r>
            <w:r>
              <w:t>печения не ниже уровня инфляции".</w:t>
            </w:r>
          </w:p>
          <w:p w:rsidR="004435F9" w:rsidRDefault="00125F54">
            <w:pPr>
              <w:pStyle w:val="ConsPlusNormal0"/>
            </w:pPr>
            <w:r>
              <w:t>2. Технологическое лидерство:</w:t>
            </w:r>
          </w:p>
          <w:p w:rsidR="004435F9" w:rsidRDefault="00125F54">
            <w:pPr>
              <w:pStyle w:val="ConsPlusNormal0"/>
            </w:pPr>
            <w:r>
              <w:t>2.1. Показатель "Обеспечение технологической независимости и формирование новых рынков по таким направлениям, как биоэкономика, сбережение здоровья граждан, продовольственная безопасность, бес</w:t>
            </w:r>
            <w:r>
              <w:t>пилотные 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</w:t>
            </w:r>
            <w:r>
              <w:t xml:space="preserve"> технологии и сервисы, новые энергетические технологии (в том числе атомные)".</w:t>
            </w:r>
          </w:p>
          <w:p w:rsidR="004435F9" w:rsidRDefault="00125F54">
            <w:pPr>
              <w:pStyle w:val="ConsPlusNormal0"/>
            </w:pPr>
            <w:r>
              <w:t>3. Государственная программа развития сельского хозяйства и регулирования рынков сельскохозяйственной продукции, сырья и продовольствия.</w:t>
            </w:r>
          </w:p>
          <w:p w:rsidR="004435F9" w:rsidRDefault="00125F54">
            <w:pPr>
              <w:pStyle w:val="ConsPlusNormal0"/>
            </w:pPr>
            <w:r>
              <w:t>4. Государственная программа Российской Федерации "Комплексное развитие сельских территорий"</w:t>
            </w:r>
          </w:p>
        </w:tc>
      </w:tr>
    </w:tbl>
    <w:p w:rsidR="004435F9" w:rsidRDefault="004435F9">
      <w:pPr>
        <w:pStyle w:val="ConsPlusNormal0"/>
        <w:jc w:val="right"/>
      </w:pPr>
    </w:p>
    <w:p w:rsidR="004435F9" w:rsidRDefault="00125F54">
      <w:pPr>
        <w:pStyle w:val="ConsPlusTitle0"/>
        <w:jc w:val="center"/>
        <w:outlineLvl w:val="2"/>
      </w:pPr>
      <w:r>
        <w:t>2. Показатели государственной программы</w:t>
      </w:r>
    </w:p>
    <w:p w:rsidR="004435F9" w:rsidRDefault="004435F9">
      <w:pPr>
        <w:pStyle w:val="ConsPlusNormal0"/>
        <w:jc w:val="center"/>
      </w:pPr>
    </w:p>
    <w:p w:rsidR="004435F9" w:rsidRDefault="004435F9">
      <w:pPr>
        <w:pStyle w:val="ConsPlusNormal0"/>
        <w:sectPr w:rsidR="004435F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2179"/>
        <w:gridCol w:w="1111"/>
        <w:gridCol w:w="1076"/>
        <w:gridCol w:w="939"/>
        <w:gridCol w:w="549"/>
        <w:gridCol w:w="655"/>
        <w:gridCol w:w="655"/>
        <w:gridCol w:w="655"/>
        <w:gridCol w:w="549"/>
        <w:gridCol w:w="549"/>
        <w:gridCol w:w="549"/>
        <w:gridCol w:w="2156"/>
        <w:gridCol w:w="2079"/>
        <w:gridCol w:w="2056"/>
      </w:tblGrid>
      <w:tr w:rsidR="004435F9">
        <w:tc>
          <w:tcPr>
            <w:tcW w:w="45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6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</w:tcPr>
          <w:p w:rsidR="004435F9" w:rsidRDefault="00125F54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984" w:type="dxa"/>
            <w:gridSpan w:val="6"/>
          </w:tcPr>
          <w:p w:rsidR="004435F9" w:rsidRDefault="00125F54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240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34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3005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</w:tr>
      <w:tr w:rsidR="004435F9"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1054" w:type="dxa"/>
          </w:tcPr>
          <w:p w:rsidR="004435F9" w:rsidRDefault="00125F54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0" w:type="auto"/>
            <w:vMerge/>
          </w:tcPr>
          <w:p w:rsidR="004435F9" w:rsidRDefault="004435F9">
            <w:pPr>
              <w:pStyle w:val="ConsPlusNormal0"/>
            </w:pP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005" w:type="dxa"/>
          </w:tcPr>
          <w:p w:rsidR="004435F9" w:rsidRDefault="00125F54">
            <w:pPr>
              <w:pStyle w:val="ConsPlusNormal0"/>
              <w:jc w:val="center"/>
            </w:pPr>
            <w:r>
              <w:t>15</w:t>
            </w:r>
          </w:p>
        </w:tc>
      </w:tr>
      <w:tr w:rsidR="004435F9">
        <w:tc>
          <w:tcPr>
            <w:tcW w:w="18736" w:type="dxa"/>
            <w:gridSpan w:val="15"/>
          </w:tcPr>
          <w:p w:rsidR="004435F9" w:rsidRDefault="00125F54">
            <w:pPr>
              <w:pStyle w:val="ConsPlusNormal0"/>
            </w:pPr>
            <w:r>
              <w:t>Цель "Устойчивое развитие агропромышленного комплекса и сельских территорий, повышение конкурентоспособности произведенной в автономном округе сельскохозяйственной продукции"</w:t>
            </w: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t>1.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%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86,7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88,5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89,3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90,2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93,2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95,4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97,6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>постановление Правительства Российской Федерации от 14 июля 2012 года N 717 "О Государственной программе развития сельского хозяй</w:t>
            </w:r>
            <w:r>
              <w:t>ства и регулирования рынков сельскохозяйственной продукции, сырья и продовольствия" (далее - Постановление N 717)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4435F9" w:rsidRDefault="00125F54">
            <w:pPr>
              <w:pStyle w:val="ConsPlusNormal0"/>
            </w:pPr>
            <w:r>
              <w:t>увеличение к 2030 году объема производства продукции агропромышленного комплекса не менее чем на 25 процентов по сравне</w:t>
            </w:r>
            <w:r>
              <w:t>нию с уровнем 2021 года;</w:t>
            </w:r>
          </w:p>
          <w:p w:rsidR="004435F9" w:rsidRDefault="00125F54">
            <w:pPr>
              <w:pStyle w:val="ConsPlusNormal0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объему </w:t>
            </w:r>
            <w:r>
              <w:lastRenderedPageBreak/>
              <w:t>валового внутреннего продукта, рассчитанного по паритету покупательной способности, в</w:t>
            </w:r>
            <w:r>
              <w:t xml:space="preserve">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:rsidR="004435F9" w:rsidRDefault="00125F54">
            <w:pPr>
              <w:pStyle w:val="ConsPlusNormal0"/>
            </w:pPr>
            <w:r>
              <w:t>обеспечение технологической независимости и формирование новых рынков по таким направле</w:t>
            </w:r>
            <w:r>
              <w:t xml:space="preserve">ниям, как биоэкономика, сбережение здоровья граждан, продовольственная безопасность, беспилотные </w:t>
            </w:r>
            <w:r>
              <w:lastRenderedPageBreak/>
              <w:t>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</w:t>
            </w:r>
            <w:r>
              <w:t>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</w:t>
            </w: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%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100,4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99,7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>Указ</w:t>
            </w:r>
            <w:r>
              <w:t xml:space="preserve"> Президента Российской Федерации от 21 января 2020 года N 20 "Об утверждении Доктрины </w:t>
            </w:r>
            <w:r>
              <w:lastRenderedPageBreak/>
              <w:t>продовольственной безопасности Российской Федерации",</w:t>
            </w:r>
          </w:p>
          <w:p w:rsidR="004435F9" w:rsidRDefault="00125F54">
            <w:pPr>
              <w:pStyle w:val="ConsPlusNormal0"/>
            </w:pPr>
            <w:r>
              <w:t>Постановление N 717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lastRenderedPageBreak/>
              <w:t>Деппромышленности Югры</w:t>
            </w:r>
          </w:p>
        </w:tc>
        <w:tc>
          <w:tcPr>
            <w:tcW w:w="3005" w:type="dxa"/>
          </w:tcPr>
          <w:p w:rsidR="004435F9" w:rsidRDefault="00125F54">
            <w:pPr>
              <w:pStyle w:val="ConsPlusNormal0"/>
            </w:pPr>
            <w:r>
              <w:t>увеличение к 2030 году объема производства продукции агропромышленного ко</w:t>
            </w:r>
            <w:r>
              <w:t xml:space="preserve">мплекса не менее чем на 25 </w:t>
            </w:r>
            <w:r>
              <w:lastRenderedPageBreak/>
              <w:t>процентов по сравнению с уровнем 2021 года;</w:t>
            </w:r>
          </w:p>
          <w:p w:rsidR="004435F9" w:rsidRDefault="00125F54">
            <w:pPr>
              <w:pStyle w:val="ConsPlusNormal0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</w:t>
            </w:r>
            <w:r>
              <w:t xml:space="preserve">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</w:t>
            </w:r>
            <w:r>
              <w:lastRenderedPageBreak/>
              <w:t>структурной безработицы;</w:t>
            </w:r>
          </w:p>
          <w:p w:rsidR="004435F9" w:rsidRDefault="00125F54">
            <w:pPr>
              <w:pStyle w:val="ConsPlusNormal0"/>
            </w:pPr>
            <w:r>
              <w:t>обеспечение технологической независимости</w:t>
            </w:r>
            <w:r>
              <w:t xml:space="preserve"> и формирование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</w:t>
            </w:r>
            <w:r>
              <w:t xml:space="preserve">тные средства), экономика данных и цифровая трансформация, искусственный интеллект, новые материалы и химия, </w:t>
            </w:r>
            <w:r>
              <w:lastRenderedPageBreak/>
              <w:t>перспективные космические технологии и сервисы, новые энергетические технологии (в том числе атомные)</w:t>
            </w: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>Среднемесячная начисленная заработная пла</w:t>
            </w:r>
            <w:r>
              <w:t>та работников сельского хозяйства (без субъектов малого предпринимательства)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рубль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40540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2021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49464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51987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54638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>Постановление N 717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4435F9" w:rsidRDefault="00125F54">
            <w:pPr>
              <w:pStyle w:val="ConsPlusNormal0"/>
            </w:pPr>
            <w:r>
              <w:t>обеспечение устойчивого роста доходов населения и уровня пенсионного обеспечения не ниже уровня инфляции</w:t>
            </w: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t>4.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%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57,8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2021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61,0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61,5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62,0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 xml:space="preserve">постановление Правительства Российской Федерации от 31 мая 2019 года N 696 "Об утверждении государственной программы Российской Федерации "Комплексное развитие сельских территорий" и о </w:t>
            </w:r>
            <w:r>
              <w:lastRenderedPageBreak/>
              <w:t>внесении изменений в некоторы</w:t>
            </w:r>
            <w:r>
              <w:t>е акты Правительства Российской Федерации" (далее - Постановление N 696),</w:t>
            </w:r>
          </w:p>
          <w:p w:rsidR="004435F9" w:rsidRDefault="00125F54">
            <w:pPr>
              <w:pStyle w:val="ConsPlusNormal0"/>
            </w:pPr>
            <w:r>
              <w:t>распоряжение Правительства Российской Федерации от 2 февраля 2015 года N 151-р (далее - Распоряжение N 151-р)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lastRenderedPageBreak/>
              <w:t>Деппромышленности Югры</w:t>
            </w:r>
          </w:p>
        </w:tc>
        <w:tc>
          <w:tcPr>
            <w:tcW w:w="3005" w:type="dxa"/>
          </w:tcPr>
          <w:p w:rsidR="004435F9" w:rsidRDefault="004435F9">
            <w:pPr>
              <w:pStyle w:val="ConsPlusNormal0"/>
            </w:pP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t>5.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%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62,95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2021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62,95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63,08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65,00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>Постановление N 696,</w:t>
            </w:r>
          </w:p>
          <w:p w:rsidR="004435F9" w:rsidRDefault="00125F54">
            <w:pPr>
              <w:pStyle w:val="ConsPlusNormal0"/>
            </w:pPr>
            <w:r>
              <w:t>Распоряжение</w:t>
            </w:r>
            <w:r>
              <w:t xml:space="preserve"> N 151-р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4435F9" w:rsidRDefault="00125F54">
            <w:pPr>
              <w:pStyle w:val="ConsPlusNormal0"/>
            </w:pPr>
            <w:r>
              <w:t>обеспечение устойчивого роста доходов населения и уровня пенсионного обеспечения не ниже уровня инфляции</w:t>
            </w:r>
          </w:p>
        </w:tc>
      </w:tr>
      <w:tr w:rsidR="004435F9">
        <w:tc>
          <w:tcPr>
            <w:tcW w:w="454" w:type="dxa"/>
          </w:tcPr>
          <w:p w:rsidR="004435F9" w:rsidRDefault="00125F54">
            <w:pPr>
              <w:pStyle w:val="ConsPlusNormal0"/>
            </w:pPr>
            <w:r>
              <w:t>6.</w:t>
            </w:r>
          </w:p>
        </w:tc>
        <w:tc>
          <w:tcPr>
            <w:tcW w:w="2464" w:type="dxa"/>
          </w:tcPr>
          <w:p w:rsidR="004435F9" w:rsidRDefault="00125F54">
            <w:pPr>
              <w:pStyle w:val="ConsPlusNormal0"/>
            </w:pPr>
            <w:r>
              <w:t xml:space="preserve">Доля населения сельских территорий и сельских агломераций в </w:t>
            </w:r>
            <w:r>
              <w:lastRenderedPageBreak/>
              <w:t>общей численности населения</w:t>
            </w:r>
          </w:p>
        </w:tc>
        <w:tc>
          <w:tcPr>
            <w:tcW w:w="1219" w:type="dxa"/>
          </w:tcPr>
          <w:p w:rsidR="004435F9" w:rsidRDefault="00125F54">
            <w:pPr>
              <w:pStyle w:val="ConsPlusNormal0"/>
            </w:pPr>
            <w:r>
              <w:lastRenderedPageBreak/>
              <w:t xml:space="preserve">ГП РФ </w:t>
            </w:r>
            <w:hyperlink w:anchor="P213" w:tooltip="&lt;*&gt; государственная программа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%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18,7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18,7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18,7</w:t>
            </w:r>
          </w:p>
        </w:tc>
        <w:tc>
          <w:tcPr>
            <w:tcW w:w="724" w:type="dxa"/>
          </w:tcPr>
          <w:p w:rsidR="004435F9" w:rsidRDefault="00125F54">
            <w:pPr>
              <w:pStyle w:val="ConsPlusNormal0"/>
            </w:pPr>
            <w:r>
              <w:t>18,7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2404" w:type="dxa"/>
          </w:tcPr>
          <w:p w:rsidR="004435F9" w:rsidRDefault="00125F54">
            <w:pPr>
              <w:pStyle w:val="ConsPlusNormal0"/>
            </w:pPr>
            <w:r>
              <w:t>Постановление N 696,</w:t>
            </w:r>
          </w:p>
          <w:p w:rsidR="004435F9" w:rsidRDefault="00125F54">
            <w:pPr>
              <w:pStyle w:val="ConsPlusNormal0"/>
            </w:pPr>
            <w:r>
              <w:t>Распоряжение N 151-р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4435F9" w:rsidRDefault="004435F9">
            <w:pPr>
              <w:pStyle w:val="ConsPlusNormal0"/>
            </w:pPr>
          </w:p>
        </w:tc>
      </w:tr>
    </w:tbl>
    <w:p w:rsidR="004435F9" w:rsidRDefault="004435F9">
      <w:pPr>
        <w:pStyle w:val="ConsPlusNormal0"/>
        <w:jc w:val="center"/>
      </w:pPr>
    </w:p>
    <w:p w:rsidR="004435F9" w:rsidRDefault="00125F54">
      <w:pPr>
        <w:pStyle w:val="ConsPlusNormal0"/>
        <w:ind w:firstLine="540"/>
        <w:jc w:val="both"/>
      </w:pPr>
      <w:r>
        <w:t>--------------------------------</w:t>
      </w:r>
    </w:p>
    <w:p w:rsidR="004435F9" w:rsidRDefault="00125F54">
      <w:pPr>
        <w:pStyle w:val="ConsPlusNormal0"/>
        <w:spacing w:before="240"/>
        <w:ind w:firstLine="540"/>
        <w:jc w:val="both"/>
      </w:pPr>
      <w:bookmarkStart w:id="2" w:name="P213"/>
      <w:bookmarkEnd w:id="2"/>
      <w:r>
        <w:t>&lt;*&gt; государственная программа Российской Федерации</w:t>
      </w:r>
    </w:p>
    <w:p w:rsidR="004435F9" w:rsidRDefault="00125F54">
      <w:pPr>
        <w:pStyle w:val="ConsPlusNormal0"/>
        <w:spacing w:before="240"/>
        <w:ind w:firstLine="540"/>
        <w:jc w:val="both"/>
      </w:pPr>
      <w:bookmarkStart w:id="3" w:name="P214"/>
      <w:bookmarkEnd w:id="3"/>
      <w:r>
        <w:t>&lt;**&gt; государственная программа автономного округа</w:t>
      </w:r>
    </w:p>
    <w:p w:rsidR="004435F9" w:rsidRDefault="004435F9">
      <w:pPr>
        <w:pStyle w:val="ConsPlusNormal0"/>
        <w:jc w:val="center"/>
      </w:pPr>
    </w:p>
    <w:p w:rsidR="004435F9" w:rsidRDefault="00125F54">
      <w:pPr>
        <w:pStyle w:val="ConsPlusTitle0"/>
        <w:jc w:val="center"/>
        <w:outlineLvl w:val="2"/>
      </w:pPr>
      <w:r>
        <w:t>2.1. Прокси-показатели государственной программы в 2025 году</w:t>
      </w:r>
    </w:p>
    <w:p w:rsidR="004435F9" w:rsidRDefault="004435F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639"/>
        <w:gridCol w:w="1204"/>
        <w:gridCol w:w="1054"/>
        <w:gridCol w:w="604"/>
        <w:gridCol w:w="904"/>
        <w:gridCol w:w="904"/>
        <w:gridCol w:w="904"/>
        <w:gridCol w:w="904"/>
        <w:gridCol w:w="2344"/>
      </w:tblGrid>
      <w:tr w:rsidR="004435F9">
        <w:tc>
          <w:tcPr>
            <w:tcW w:w="48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</w:tcPr>
          <w:p w:rsidR="004435F9" w:rsidRDefault="00125F54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4435F9" w:rsidRDefault="00125F54">
            <w:pPr>
              <w:pStyle w:val="ConsPlusNormal0"/>
              <w:jc w:val="center"/>
            </w:pPr>
            <w:r>
              <w:t>Значение показателя по кварталам, месяцам</w:t>
            </w:r>
          </w:p>
        </w:tc>
        <w:tc>
          <w:tcPr>
            <w:tcW w:w="234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Ответственный за достижени</w:t>
            </w:r>
            <w:r>
              <w:t>е показателя</w:t>
            </w:r>
          </w:p>
        </w:tc>
      </w:tr>
      <w:tr w:rsidR="004435F9">
        <w:tc>
          <w:tcPr>
            <w:tcW w:w="484" w:type="dxa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1639" w:type="dxa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1204" w:type="dxa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1054" w:type="dxa"/>
          </w:tcPr>
          <w:p w:rsidR="004435F9" w:rsidRDefault="00125F54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  <w:jc w:val="center"/>
            </w:pPr>
            <w:r>
              <w:t>IV квартал</w:t>
            </w:r>
          </w:p>
        </w:tc>
        <w:tc>
          <w:tcPr>
            <w:tcW w:w="2344" w:type="dxa"/>
            <w:vMerge/>
          </w:tcPr>
          <w:p w:rsidR="004435F9" w:rsidRDefault="004435F9">
            <w:pPr>
              <w:pStyle w:val="ConsPlusNormal0"/>
            </w:pPr>
          </w:p>
        </w:tc>
      </w:tr>
      <w:tr w:rsidR="004435F9">
        <w:tblPrEx>
          <w:tblBorders>
            <w:insideH w:val="nil"/>
          </w:tblBorders>
        </w:tblPrEx>
        <w:tc>
          <w:tcPr>
            <w:tcW w:w="10945" w:type="dxa"/>
            <w:gridSpan w:val="10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2"/>
              <w:gridCol w:w="10586"/>
              <w:gridCol w:w="92"/>
            </w:tblGrid>
            <w:tr w:rsidR="004435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435F9" w:rsidRDefault="00125F54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4435F9" w:rsidRDefault="00125F54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</w:tr>
          </w:tbl>
          <w:p w:rsidR="004435F9" w:rsidRDefault="004435F9">
            <w:pPr>
              <w:pStyle w:val="ConsPlusNormal0"/>
            </w:pPr>
          </w:p>
        </w:tc>
      </w:tr>
      <w:tr w:rsidR="004435F9">
        <w:tblPrEx>
          <w:tblBorders>
            <w:insideH w:val="nil"/>
          </w:tblBorders>
        </w:tblPrEx>
        <w:tc>
          <w:tcPr>
            <w:tcW w:w="48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9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11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</w:t>
            </w:r>
          </w:p>
        </w:tc>
        <w:tc>
          <w:tcPr>
            <w:tcW w:w="10461" w:type="dxa"/>
            <w:gridSpan w:val="9"/>
          </w:tcPr>
          <w:p w:rsidR="004435F9" w:rsidRDefault="00125F54">
            <w:pPr>
              <w:pStyle w:val="ConsPlusNormal0"/>
            </w:pPr>
            <w:r>
              <w:t>Показатель "Индекс производства продукции сельского хозяйства (в сопоставимых ценах) к уровню 2021 года"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1.1.</w:t>
            </w:r>
          </w:p>
        </w:tc>
        <w:tc>
          <w:tcPr>
            <w:tcW w:w="1639" w:type="dxa"/>
          </w:tcPr>
          <w:p w:rsidR="004435F9" w:rsidRDefault="00125F54">
            <w:pPr>
              <w:pStyle w:val="ConsPlusNormal0"/>
            </w:pPr>
            <w:r>
              <w:t>Производство молока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23,2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6,0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13,5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19,8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23,9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1.2.</w:t>
            </w:r>
          </w:p>
        </w:tc>
        <w:tc>
          <w:tcPr>
            <w:tcW w:w="1639" w:type="dxa"/>
          </w:tcPr>
          <w:p w:rsidR="004435F9" w:rsidRDefault="00125F54">
            <w:pPr>
              <w:pStyle w:val="ConsPlusNormal0"/>
            </w:pPr>
            <w:r>
              <w:t>Производство яиц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млн штук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57,8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14,0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32,3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49,4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60,0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lastRenderedPageBreak/>
              <w:t>1.3.</w:t>
            </w:r>
          </w:p>
        </w:tc>
        <w:tc>
          <w:tcPr>
            <w:tcW w:w="1639" w:type="dxa"/>
          </w:tcPr>
          <w:p w:rsidR="004435F9" w:rsidRDefault="00125F54">
            <w:pPr>
              <w:pStyle w:val="ConsPlusNormal0"/>
            </w:pPr>
            <w:r>
              <w:t>Валовый сбор картофеля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53,6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53,8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53,8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1.4.</w:t>
            </w:r>
          </w:p>
        </w:tc>
        <w:tc>
          <w:tcPr>
            <w:tcW w:w="1639" w:type="dxa"/>
          </w:tcPr>
          <w:p w:rsidR="004435F9" w:rsidRDefault="00125F54">
            <w:pPr>
              <w:pStyle w:val="ConsPlusNormal0"/>
            </w:pPr>
            <w:r>
              <w:t>Валовый сбор овощей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20,9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3,0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18,0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21,2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1.5.</w:t>
            </w:r>
          </w:p>
        </w:tc>
        <w:tc>
          <w:tcPr>
            <w:tcW w:w="1639" w:type="dxa"/>
          </w:tcPr>
          <w:p w:rsidR="004435F9" w:rsidRDefault="00125F54">
            <w:pPr>
              <w:pStyle w:val="ConsPlusNormal0"/>
            </w:pPr>
            <w:r>
              <w:t>Производство скота и птицы на убой в живом весе</w:t>
            </w:r>
          </w:p>
        </w:tc>
        <w:tc>
          <w:tcPr>
            <w:tcW w:w="1204" w:type="dxa"/>
          </w:tcPr>
          <w:p w:rsidR="004435F9" w:rsidRDefault="00125F54">
            <w:pPr>
              <w:pStyle w:val="ConsPlusNormal0"/>
            </w:pPr>
            <w:r>
              <w:t>тысяча тонн</w:t>
            </w:r>
          </w:p>
        </w:tc>
        <w:tc>
          <w:tcPr>
            <w:tcW w:w="1054" w:type="dxa"/>
          </w:tcPr>
          <w:p w:rsidR="004435F9" w:rsidRDefault="00125F54">
            <w:pPr>
              <w:pStyle w:val="ConsPlusNormal0"/>
            </w:pPr>
            <w:r>
              <w:t>14,3</w:t>
            </w:r>
          </w:p>
        </w:tc>
        <w:tc>
          <w:tcPr>
            <w:tcW w:w="604" w:type="dxa"/>
          </w:tcPr>
          <w:p w:rsidR="004435F9" w:rsidRDefault="00125F54">
            <w:pPr>
              <w:pStyle w:val="ConsPlusNormal0"/>
            </w:pPr>
            <w:r>
              <w:t>2023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5,0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7,0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9,0</w:t>
            </w:r>
          </w:p>
        </w:tc>
        <w:tc>
          <w:tcPr>
            <w:tcW w:w="904" w:type="dxa"/>
          </w:tcPr>
          <w:p w:rsidR="004435F9" w:rsidRDefault="00125F54">
            <w:pPr>
              <w:pStyle w:val="ConsPlusNormal0"/>
            </w:pPr>
            <w:r>
              <w:t>14,3</w:t>
            </w:r>
          </w:p>
        </w:tc>
        <w:tc>
          <w:tcPr>
            <w:tcW w:w="2344" w:type="dxa"/>
          </w:tcPr>
          <w:p w:rsidR="004435F9" w:rsidRDefault="00125F54">
            <w:pPr>
              <w:pStyle w:val="ConsPlusNormal0"/>
            </w:pPr>
            <w:r>
              <w:t>Деппромышленности Югры</w:t>
            </w:r>
          </w:p>
        </w:tc>
      </w:tr>
    </w:tbl>
    <w:p w:rsidR="004435F9" w:rsidRDefault="004435F9">
      <w:pPr>
        <w:pStyle w:val="ConsPlusNormal0"/>
        <w:ind w:firstLine="540"/>
        <w:jc w:val="both"/>
      </w:pPr>
    </w:p>
    <w:p w:rsidR="004435F9" w:rsidRDefault="00125F54">
      <w:pPr>
        <w:pStyle w:val="ConsPlusTitle0"/>
        <w:jc w:val="center"/>
        <w:outlineLvl w:val="2"/>
      </w:pPr>
      <w:r>
        <w:t>3. Структура государственной программы</w:t>
      </w:r>
    </w:p>
    <w:p w:rsidR="004435F9" w:rsidRDefault="004435F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798"/>
        <w:gridCol w:w="4819"/>
        <w:gridCol w:w="4422"/>
      </w:tblGrid>
      <w:tr w:rsidR="004435F9">
        <w:tc>
          <w:tcPr>
            <w:tcW w:w="484" w:type="dxa"/>
          </w:tcPr>
          <w:p w:rsidR="004435F9" w:rsidRDefault="00125F5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  <w:jc w:val="center"/>
            </w:pPr>
            <w:r>
              <w:t>4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</w:t>
            </w:r>
          </w:p>
        </w:tc>
        <w:tc>
          <w:tcPr>
            <w:tcW w:w="13039" w:type="dxa"/>
            <w:gridSpan w:val="3"/>
          </w:tcPr>
          <w:p w:rsidR="004435F9" w:rsidRDefault="00125F54">
            <w:pPr>
              <w:pStyle w:val="ConsPlusNormal0"/>
            </w:pPr>
            <w:r>
              <w:t>Региональный проект "Кадры в агропромышленном комплексе"</w:t>
            </w:r>
          </w:p>
          <w:p w:rsidR="004435F9" w:rsidRDefault="00125F54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4435F9">
        <w:tc>
          <w:tcPr>
            <w:tcW w:w="484" w:type="dxa"/>
          </w:tcPr>
          <w:p w:rsidR="004435F9" w:rsidRDefault="004435F9">
            <w:pPr>
              <w:pStyle w:val="ConsPlusNormal0"/>
            </w:pP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4435F9" w:rsidRDefault="00125F54">
            <w:pPr>
              <w:pStyle w:val="ConsPlusNormal0"/>
            </w:pPr>
            <w:r>
              <w:t>срок реализации: 2025 - 2030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1.1.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2030 году:</w:t>
            </w:r>
          </w:p>
          <w:p w:rsidR="004435F9" w:rsidRDefault="00125F54">
            <w:pPr>
              <w:pStyle w:val="ConsPlusNormal0"/>
            </w:pPr>
            <w:r>
              <w:t>доля молодых кадров в возрасте до 35 лет предприятий агропромышленного комплекса составит</w:t>
            </w:r>
            <w:r>
              <w:t xml:space="preserve"> 15%,</w:t>
            </w:r>
          </w:p>
          <w:p w:rsidR="004435F9" w:rsidRDefault="00125F54">
            <w:pPr>
              <w:pStyle w:val="ConsPlusNormal0"/>
            </w:pPr>
            <w:r>
              <w:t>доля сотрудников, работающих в отрасли агропромышленного комплекса более 5 лет составит 94%,</w:t>
            </w:r>
          </w:p>
          <w:p w:rsidR="004435F9" w:rsidRDefault="00125F54">
            <w:pPr>
              <w:pStyle w:val="ConsPlusNormal0"/>
            </w:pPr>
            <w:r>
              <w:t xml:space="preserve">укомплектованность кадрами предприятий </w:t>
            </w:r>
            <w:r>
              <w:lastRenderedPageBreak/>
              <w:t>агропромышленного комплекса составит 95%;</w:t>
            </w:r>
          </w:p>
          <w:p w:rsidR="004435F9" w:rsidRDefault="00125F54">
            <w:pPr>
              <w:pStyle w:val="ConsPlusNormal0"/>
            </w:pPr>
            <w:r>
              <w:t>обеспечение создания не менее 50 агротехнологических классов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lastRenderedPageBreak/>
              <w:t>индекс производства продукции сельского хозяйства (в сопоставимых ценах) к уровню 2021 года;</w:t>
            </w:r>
          </w:p>
          <w:p w:rsidR="004435F9" w:rsidRDefault="00125F54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2.</w:t>
            </w:r>
          </w:p>
        </w:tc>
        <w:tc>
          <w:tcPr>
            <w:tcW w:w="13039" w:type="dxa"/>
            <w:gridSpan w:val="3"/>
          </w:tcPr>
          <w:p w:rsidR="004435F9" w:rsidRDefault="00125F54">
            <w:pPr>
              <w:pStyle w:val="ConsPlusNormal0"/>
            </w:pPr>
            <w:r>
              <w:t>Региональный проект "Развитие жилищного строительства на сельских территориях и</w:t>
            </w:r>
            <w:r>
              <w:t xml:space="preserve"> повышение уровня благоустройства домовладений"</w:t>
            </w:r>
          </w:p>
          <w:p w:rsidR="004435F9" w:rsidRDefault="00125F54">
            <w:pPr>
              <w:pStyle w:val="ConsPlusNormal0"/>
            </w:pPr>
            <w:r>
              <w:t>(куратор - Ислаев Азат Файзулхакович)</w:t>
            </w:r>
          </w:p>
        </w:tc>
      </w:tr>
      <w:tr w:rsidR="004435F9">
        <w:tc>
          <w:tcPr>
            <w:tcW w:w="484" w:type="dxa"/>
          </w:tcPr>
          <w:p w:rsidR="004435F9" w:rsidRDefault="004435F9">
            <w:pPr>
              <w:pStyle w:val="ConsPlusNormal0"/>
            </w:pP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Ответственный за реализацию: Департамент строительства и архитектуры автономного округа</w:t>
            </w:r>
          </w:p>
        </w:tc>
        <w:tc>
          <w:tcPr>
            <w:tcW w:w="9241" w:type="dxa"/>
            <w:gridSpan w:val="2"/>
          </w:tcPr>
          <w:p w:rsidR="004435F9" w:rsidRDefault="00125F54">
            <w:pPr>
              <w:pStyle w:val="ConsPlusNormal0"/>
            </w:pPr>
            <w:r>
              <w:t>срок реализации: 2024 - 2027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2.1.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Создание возможности для улучшения жилищных условий семей, проживающих на сельских территориях (агломерациях)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2027 году обеспечение строительства (приобретения) 4 семьями 324 кв. метров жилых помещений (жилых домов) за счет предоставления социальных выпл</w:t>
            </w:r>
            <w:r>
              <w:t>ат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населения;</w:t>
            </w:r>
          </w:p>
          <w:p w:rsidR="004435F9" w:rsidRDefault="00125F54">
            <w:pPr>
              <w:pStyle w:val="ConsPlusNormal0"/>
            </w:pPr>
            <w:r>
              <w:t>доля о</w:t>
            </w:r>
            <w:r>
              <w:t>бщей площади благоустроенных жилых помещений в сельских населенных пунктах;</w:t>
            </w:r>
          </w:p>
          <w:p w:rsidR="004435F9" w:rsidRDefault="00125F54">
            <w:pPr>
              <w:pStyle w:val="ConsPlusNormal0"/>
            </w:pPr>
            <w:r>
              <w:t>соотношение среднемесячных располагаемых ресурсов сельского и городского домохозяйств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3.</w:t>
            </w:r>
          </w:p>
        </w:tc>
        <w:tc>
          <w:tcPr>
            <w:tcW w:w="13039" w:type="dxa"/>
            <w:gridSpan w:val="3"/>
          </w:tcPr>
          <w:p w:rsidR="004435F9" w:rsidRDefault="00125F54">
            <w:pPr>
              <w:pStyle w:val="ConsPlusNormal0"/>
            </w:pPr>
            <w:r>
              <w:t>Региональный проект "Благоустройство сельских территорий"</w:t>
            </w:r>
          </w:p>
          <w:p w:rsidR="004435F9" w:rsidRDefault="00125F54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4435F9">
        <w:tc>
          <w:tcPr>
            <w:tcW w:w="484" w:type="dxa"/>
          </w:tcPr>
          <w:p w:rsidR="004435F9" w:rsidRDefault="004435F9">
            <w:pPr>
              <w:pStyle w:val="ConsPlusNormal0"/>
            </w:pP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4435F9" w:rsidRDefault="00125F54">
            <w:pPr>
              <w:pStyle w:val="ConsPlusNormal0"/>
            </w:pPr>
            <w:r>
              <w:t>срок реализации: 2024 - 2027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3.1.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2027 году обеспечение реализации 48 проектов по благоустройству общественных пространств на сельских территориях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13039" w:type="dxa"/>
            <w:gridSpan w:val="3"/>
          </w:tcPr>
          <w:p w:rsidR="004435F9" w:rsidRDefault="00125F54">
            <w:pPr>
              <w:pStyle w:val="ConsPlusNormal0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  <w:p w:rsidR="004435F9" w:rsidRDefault="00125F54">
            <w:pPr>
              <w:pStyle w:val="ConsPlusNormal0"/>
            </w:pPr>
            <w:r>
              <w:t>(куратор - Огородникова Наталья Юрьевна)</w:t>
            </w:r>
          </w:p>
        </w:tc>
      </w:tr>
      <w:tr w:rsidR="004435F9">
        <w:tc>
          <w:tcPr>
            <w:tcW w:w="484" w:type="dxa"/>
          </w:tcPr>
          <w:p w:rsidR="004435F9" w:rsidRDefault="004435F9">
            <w:pPr>
              <w:pStyle w:val="ConsPlusNormal0"/>
            </w:pP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4435F9" w:rsidRDefault="00125F54">
            <w:pPr>
              <w:pStyle w:val="ConsPlusNormal0"/>
            </w:pPr>
            <w:r>
              <w:t>Срок реализации: 2024 - 2030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4.1.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Увеличение объемов производства и переработки основных видов сельскохозяйственной продукции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2030 году:</w:t>
            </w:r>
          </w:p>
          <w:p w:rsidR="004435F9" w:rsidRDefault="00125F54">
            <w:pPr>
              <w:pStyle w:val="ConsPlusNormal0"/>
            </w:pPr>
            <w:r>
              <w:t>обеспечение ежегодного производства объема продукции сельского хозяйства в размере не ниже значения предыдущего года;</w:t>
            </w:r>
          </w:p>
          <w:p w:rsidR="004435F9" w:rsidRDefault="00125F54">
            <w:pPr>
              <w:pStyle w:val="ConsPlusNormal0"/>
            </w:pPr>
            <w:r>
              <w:t>обеспечение производства продукци</w:t>
            </w:r>
            <w:r>
              <w:t>и агропромышленного комплекса (накопительным итогом):</w:t>
            </w:r>
          </w:p>
          <w:p w:rsidR="004435F9" w:rsidRDefault="00125F54">
            <w:pPr>
              <w:pStyle w:val="ConsPlusNormal0"/>
            </w:pPr>
            <w:r>
              <w:t>молоко не менее 191,1 тыс. тонн;</w:t>
            </w:r>
          </w:p>
          <w:p w:rsidR="004435F9" w:rsidRDefault="00125F54">
            <w:pPr>
              <w:pStyle w:val="ConsPlusNormal0"/>
            </w:pPr>
            <w:r>
              <w:t>скота и птицы на убой в живом весе не менее 110,8 тыс. тонн;</w:t>
            </w:r>
          </w:p>
          <w:p w:rsidR="004435F9" w:rsidRDefault="00125F54">
            <w:pPr>
              <w:pStyle w:val="ConsPlusNormal0"/>
            </w:pPr>
            <w:r>
              <w:t>яиц не менее 461,8 млн штук;</w:t>
            </w:r>
          </w:p>
          <w:p w:rsidR="004435F9" w:rsidRDefault="00125F54">
            <w:pPr>
              <w:pStyle w:val="ConsPlusNormal0"/>
            </w:pPr>
            <w:r>
              <w:t>валовый сбор картофеля не менее 375,1 тыс. тонн;</w:t>
            </w:r>
          </w:p>
          <w:p w:rsidR="004435F9" w:rsidRDefault="00125F54">
            <w:pPr>
              <w:pStyle w:val="ConsPlusNormal0"/>
            </w:pPr>
            <w:r>
              <w:t>валовый сбор овощей не менее 144,2 тыс. тонн;</w:t>
            </w:r>
          </w:p>
          <w:p w:rsidR="004435F9" w:rsidRDefault="00125F54">
            <w:pPr>
              <w:pStyle w:val="ConsPlusNormal0"/>
            </w:pPr>
            <w:r>
              <w:t>обеспечение реализации инвестиционного проекта "Племенной репродуктор II порядка в Нефтеюганском районе Ханты-Мансийского автономного округа - Югры";</w:t>
            </w:r>
          </w:p>
          <w:p w:rsidR="004435F9" w:rsidRDefault="00125F54">
            <w:pPr>
              <w:pStyle w:val="ConsPlusNormal0"/>
            </w:pPr>
            <w:r>
              <w:t>обеспечение развития материально-технической базы не менее 3</w:t>
            </w:r>
            <w:r>
              <w:t>0 сельскохозяйственных товаропроизводителей;</w:t>
            </w:r>
          </w:p>
          <w:p w:rsidR="004435F9" w:rsidRDefault="00125F54">
            <w:pPr>
              <w:pStyle w:val="ConsPlusNormal0"/>
            </w:pPr>
            <w:r>
              <w:t xml:space="preserve">обеспечение ежегодного увеличения на 1% объема собственного производства и </w:t>
            </w:r>
            <w:r>
              <w:lastRenderedPageBreak/>
              <w:t>реализации рыбной продукции по отношению к отчетному году сельскохозяйственными товаропроизводителями, получившими поддержку на создание</w:t>
            </w:r>
            <w:r>
              <w:t xml:space="preserve"> и модернизацию объектов рыбоводной инфраструктуры;</w:t>
            </w:r>
          </w:p>
          <w:p w:rsidR="004435F9" w:rsidRDefault="00125F54">
            <w:pPr>
              <w:pStyle w:val="ConsPlusNormal0"/>
            </w:pPr>
            <w:r>
              <w:t>обеспечение реализации не менее 2 проектов создания животноводческих молочных комплексов;</w:t>
            </w:r>
          </w:p>
          <w:p w:rsidR="004435F9" w:rsidRDefault="00125F54">
            <w:pPr>
              <w:pStyle w:val="ConsPlusNormal0"/>
            </w:pPr>
            <w:r>
              <w:t>обеспечение реализации не менее 5 проектов "Агростартап" по созданию и (или) развитию хозяйства;</w:t>
            </w:r>
          </w:p>
          <w:p w:rsidR="004435F9" w:rsidRDefault="00125F54">
            <w:pPr>
              <w:pStyle w:val="ConsPlusNormal0"/>
            </w:pPr>
            <w:r>
              <w:t>обеспечение вовле</w:t>
            </w:r>
            <w:r>
              <w:t>чения в сельскохозяйственный оборот не менее 500 гектар земель сельскохозяйственного назначения и земельных участков, предназначенных для осуществления сельскохозяйственной деятельности;</w:t>
            </w:r>
          </w:p>
          <w:p w:rsidR="004435F9" w:rsidRDefault="00125F54">
            <w:pPr>
              <w:pStyle w:val="ConsPlusNormal0"/>
            </w:pPr>
            <w:r>
              <w:t>обеспечение создания не менее 7 пунктов приема продукции традиционной</w:t>
            </w:r>
            <w:r>
              <w:t xml:space="preserve"> хозяйственной деятельности коренных малочисленных народов Севера;</w:t>
            </w:r>
          </w:p>
          <w:p w:rsidR="004435F9" w:rsidRDefault="00125F54">
            <w:pPr>
              <w:pStyle w:val="ConsPlusNormal0"/>
            </w:pPr>
            <w:r>
              <w:t>обеспечение ежегодного посева кормовых культур в районах Крайнего Севера и приравненных к ним местностях в размере 1,3 тыс. гектаров;</w:t>
            </w:r>
          </w:p>
          <w:p w:rsidR="004435F9" w:rsidRDefault="00125F54">
            <w:pPr>
              <w:pStyle w:val="ConsPlusNormal0"/>
            </w:pPr>
            <w:r>
              <w:t>обеспечение ежегодного увеличения на 0,5 процента объем</w:t>
            </w:r>
            <w:r>
              <w:t xml:space="preserve">а заготовки (сбора) или реализации продукции дикоросов по отношению к отчетному финансовому году товаропроизводителями, получившими поддержку на реализацию проектов по </w:t>
            </w:r>
            <w:r>
              <w:lastRenderedPageBreak/>
              <w:t>заготовке и переработке дикоросов;</w:t>
            </w:r>
          </w:p>
          <w:p w:rsidR="004435F9" w:rsidRDefault="00125F54">
            <w:pPr>
              <w:pStyle w:val="ConsPlusNormal0"/>
            </w:pPr>
            <w:r>
              <w:t>обеспечение численности поголовья северных оленей в р</w:t>
            </w:r>
            <w:r>
              <w:t>азмере не менее 22 тыс. голов;</w:t>
            </w:r>
          </w:p>
          <w:p w:rsidR="004435F9" w:rsidRDefault="00125F54">
            <w:pPr>
              <w:pStyle w:val="ConsPlusNormal0"/>
            </w:pPr>
            <w:r>
              <w:t>обеспечение численности племенного маточного поголовья сельскохозяйственных животных 0,854 тыс. условных голов;</w:t>
            </w:r>
          </w:p>
          <w:p w:rsidR="004435F9" w:rsidRDefault="00125F54">
            <w:pPr>
              <w:pStyle w:val="ConsPlusNormal0"/>
            </w:pPr>
            <w:r>
              <w:t>обеспечение к 2027 году увеличения рентабельности сельскохозяйственных организаций (с учетом субсидий) до 2,9%;</w:t>
            </w:r>
          </w:p>
          <w:p w:rsidR="004435F9" w:rsidRDefault="00125F54">
            <w:pPr>
              <w:pStyle w:val="ConsPlusNormal0"/>
            </w:pPr>
            <w:r>
              <w:t>о</w:t>
            </w:r>
            <w:r>
              <w:t>беспечение к 2026 году ежегодного увеличения на 1% объёма производства овощей защищенного грунта по отношению к отчетному году сельскохозяйственными товаропроизводителями, получившими поддержку на возмещение части затрат на энергоносители промышленным тепл</w:t>
            </w:r>
            <w:r>
              <w:t>ицам;</w:t>
            </w:r>
          </w:p>
          <w:p w:rsidR="004435F9" w:rsidRDefault="00125F54">
            <w:pPr>
              <w:pStyle w:val="ConsPlusNormal0"/>
            </w:pPr>
            <w:r>
              <w:t>обеспечение к 2026 году создания 4 объектов для приема, хранения и переработки сельскохозяйственной и (или) пищевой продукции (модульных конструкций, предназначенных для убоя сельскохозяйственных животных, переработки сельскохозяйственной и (или) пищ</w:t>
            </w:r>
            <w:r>
              <w:t>евой продукции, холодильного оборудования (в том числе сплит-систем)) на базе АО "Саранпаульская оленеводческая компания"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lastRenderedPageBreak/>
              <w:t>индекс производства продукции сельского хозяйства (в сопоставимых ценах) к уровню 2021 года;</w:t>
            </w:r>
          </w:p>
          <w:p w:rsidR="004435F9" w:rsidRDefault="00125F54">
            <w:pPr>
              <w:pStyle w:val="ConsPlusNormal0"/>
            </w:pPr>
            <w:r>
              <w:t xml:space="preserve">индекс производства пищевых продуктов (в </w:t>
            </w:r>
            <w:r>
              <w:t>сопоставимых ценах) к уровню 2021 года;</w:t>
            </w:r>
          </w:p>
          <w:p w:rsidR="004435F9" w:rsidRDefault="00125F54">
            <w:pPr>
              <w:pStyle w:val="ConsPlusNormal0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13039" w:type="dxa"/>
            <w:gridSpan w:val="3"/>
          </w:tcPr>
          <w:p w:rsidR="004435F9" w:rsidRDefault="00125F54">
            <w:pPr>
              <w:pStyle w:val="ConsPlusNormal0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 w:rsidR="004435F9">
        <w:tc>
          <w:tcPr>
            <w:tcW w:w="484" w:type="dxa"/>
          </w:tcPr>
          <w:p w:rsidR="004435F9" w:rsidRDefault="004435F9">
            <w:pPr>
              <w:pStyle w:val="ConsPlusNormal0"/>
            </w:pP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4435F9" w:rsidRDefault="00125F54">
            <w:pPr>
              <w:pStyle w:val="ConsPlusNormal0"/>
            </w:pPr>
            <w:r>
              <w:t>срок реализации: 2024 - 2030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5.1.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Обеспечение развития рыбохозяйственного комплекса, увеличение объемов добычи (вылова) водных биоресурсов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2030 году: проведение очистки береговой линии протяженностью не менее 250 км (накопительным итогом);</w:t>
            </w:r>
          </w:p>
          <w:p w:rsidR="004435F9" w:rsidRDefault="00125F54">
            <w:pPr>
              <w:pStyle w:val="ConsPlusNormal0"/>
            </w:pPr>
            <w:r>
              <w:t>проведение рыбоводно-биологических обоснований д</w:t>
            </w:r>
            <w:r>
              <w:t>обычи водных биоресурсов в Обь-Иртышском бассейне;</w:t>
            </w:r>
          </w:p>
          <w:p w:rsidR="004435F9" w:rsidRDefault="00125F54">
            <w:pPr>
              <w:pStyle w:val="ConsPlusNormal0"/>
            </w:pPr>
            <w:r>
              <w:t>добыча (вылов) водных биоресурсов в размере 50 тыс. тонн накопительным итогом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  <w:tr w:rsidR="004435F9">
        <w:tc>
          <w:tcPr>
            <w:tcW w:w="484" w:type="dxa"/>
          </w:tcPr>
          <w:p w:rsidR="004435F9" w:rsidRDefault="00125F54">
            <w:pPr>
              <w:pStyle w:val="ConsPlusNormal0"/>
            </w:pPr>
            <w:r>
              <w:t>5.2.</w:t>
            </w:r>
          </w:p>
        </w:tc>
        <w:tc>
          <w:tcPr>
            <w:tcW w:w="3798" w:type="dxa"/>
          </w:tcPr>
          <w:p w:rsidR="004435F9" w:rsidRDefault="00125F54">
            <w:pPr>
              <w:pStyle w:val="ConsPlusNormal0"/>
            </w:pPr>
            <w:r>
              <w:t>Создание условий для развития конкурентной среды и продвижения продукции товаропроизводителей агропромышленного комплекса на новые рынки</w:t>
            </w:r>
          </w:p>
        </w:tc>
        <w:tc>
          <w:tcPr>
            <w:tcW w:w="4819" w:type="dxa"/>
          </w:tcPr>
          <w:p w:rsidR="004435F9" w:rsidRDefault="00125F54">
            <w:pPr>
              <w:pStyle w:val="ConsPlusNormal0"/>
            </w:pPr>
            <w:r>
              <w:t>к 2030 году: оказание финансовой поддержки не менее 750 сельскохозяйственным товаропроизводителям (в том числе личным п</w:t>
            </w:r>
            <w:r>
              <w:t>одсобным хозяйствам), организациям, осуществляющим деятельность в сфере заготовки и переработки дикоросов, переработки рыбопродукции, за счет субвенций, направленных муниципальным образованиям на исполнение переданного отдельного государственного полномочи</w:t>
            </w:r>
            <w:r>
              <w:t>я;</w:t>
            </w:r>
          </w:p>
          <w:p w:rsidR="004435F9" w:rsidRDefault="00125F54">
            <w:pPr>
              <w:pStyle w:val="ConsPlusNormal0"/>
            </w:pPr>
            <w:r>
              <w:t>внедрение результатов не менее 6 научно-исследовательских работ в практику сельскохозяйственной деятельности;</w:t>
            </w:r>
          </w:p>
          <w:p w:rsidR="004435F9" w:rsidRDefault="00125F54">
            <w:pPr>
              <w:pStyle w:val="ConsPlusNormal0"/>
            </w:pPr>
            <w:r>
              <w:t>обеспечение ежегодного участия не менее 10 товаропроизводителей агропромышленного комплекса автономного округа в выставочных мероприятиях для д</w:t>
            </w:r>
            <w:r>
              <w:t xml:space="preserve">емонстрации достижений развития ассортимента продукции и </w:t>
            </w:r>
            <w:r>
              <w:lastRenderedPageBreak/>
              <w:t>производственных возможностей</w:t>
            </w:r>
          </w:p>
        </w:tc>
        <w:tc>
          <w:tcPr>
            <w:tcW w:w="4422" w:type="dxa"/>
          </w:tcPr>
          <w:p w:rsidR="004435F9" w:rsidRDefault="00125F54">
            <w:pPr>
              <w:pStyle w:val="ConsPlusNormal0"/>
            </w:pPr>
            <w:r>
              <w:lastRenderedPageBreak/>
              <w:t>индекс производства продукции сельского хозяйства (в сопоставимых ценах) к уровню 2021 года;</w:t>
            </w:r>
          </w:p>
          <w:p w:rsidR="004435F9" w:rsidRDefault="00125F54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</w:tbl>
    <w:p w:rsidR="004435F9" w:rsidRDefault="004435F9">
      <w:pPr>
        <w:pStyle w:val="ConsPlusNormal0"/>
        <w:ind w:firstLine="540"/>
        <w:jc w:val="both"/>
      </w:pPr>
    </w:p>
    <w:p w:rsidR="004435F9" w:rsidRDefault="00125F54">
      <w:pPr>
        <w:pStyle w:val="ConsPlusTitle0"/>
        <w:jc w:val="center"/>
        <w:outlineLvl w:val="2"/>
      </w:pPr>
      <w:r>
        <w:t>4. Финансовое обеспечение государственной программы</w:t>
      </w:r>
    </w:p>
    <w:p w:rsidR="004435F9" w:rsidRDefault="004435F9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79"/>
        <w:gridCol w:w="1144"/>
        <w:gridCol w:w="1144"/>
        <w:gridCol w:w="1144"/>
        <w:gridCol w:w="1144"/>
        <w:gridCol w:w="1144"/>
        <w:gridCol w:w="1144"/>
        <w:gridCol w:w="1144"/>
      </w:tblGrid>
      <w:tr w:rsidR="004435F9">
        <w:tc>
          <w:tcPr>
            <w:tcW w:w="664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79" w:type="dxa"/>
            <w:vMerge w:val="restart"/>
          </w:tcPr>
          <w:p w:rsidR="004435F9" w:rsidRDefault="00125F54">
            <w:pPr>
              <w:pStyle w:val="ConsPlusNormal0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8008" w:type="dxa"/>
            <w:gridSpan w:val="7"/>
          </w:tcPr>
          <w:p w:rsidR="004435F9" w:rsidRDefault="00125F54">
            <w:pPr>
              <w:pStyle w:val="ConsPlusNormal0"/>
              <w:jc w:val="center"/>
            </w:pPr>
            <w:r>
              <w:t>Объем финансового об</w:t>
            </w:r>
            <w:r>
              <w:t>еспечения по годам, тыс. рублей</w:t>
            </w:r>
          </w:p>
        </w:tc>
      </w:tr>
      <w:tr w:rsidR="004435F9">
        <w:tc>
          <w:tcPr>
            <w:tcW w:w="664" w:type="dxa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2479" w:type="dxa"/>
            <w:vMerge/>
          </w:tcPr>
          <w:p w:rsidR="004435F9" w:rsidRDefault="004435F9">
            <w:pPr>
              <w:pStyle w:val="ConsPlusNormal0"/>
            </w:pP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  <w:jc w:val="center"/>
            </w:pPr>
            <w:r>
              <w:t>Всего</w:t>
            </w:r>
          </w:p>
        </w:tc>
      </w:tr>
      <w:tr w:rsidR="004435F9">
        <w:tblPrEx>
          <w:tblBorders>
            <w:insideH w:val="nil"/>
          </w:tblBorders>
        </w:tblPrEx>
        <w:tc>
          <w:tcPr>
            <w:tcW w:w="11151" w:type="dxa"/>
            <w:gridSpan w:val="9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93"/>
              <w:gridCol w:w="10789"/>
              <w:gridCol w:w="93"/>
            </w:tblGrid>
            <w:tr w:rsidR="004435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4435F9" w:rsidRDefault="00125F54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4435F9" w:rsidRDefault="00125F54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F9" w:rsidRDefault="004435F9">
                  <w:pPr>
                    <w:pStyle w:val="ConsPlusNormal0"/>
                  </w:pPr>
                </w:p>
              </w:tc>
            </w:tr>
          </w:tbl>
          <w:p w:rsidR="004435F9" w:rsidRDefault="004435F9">
            <w:pPr>
              <w:pStyle w:val="ConsPlusNormal0"/>
            </w:pPr>
          </w:p>
        </w:tc>
      </w:tr>
      <w:tr w:rsidR="004435F9">
        <w:tblPrEx>
          <w:tblBorders>
            <w:insideH w:val="nil"/>
          </w:tblBorders>
        </w:tblPrEx>
        <w:tc>
          <w:tcPr>
            <w:tcW w:w="66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79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44" w:type="dxa"/>
            <w:tcBorders>
              <w:top w:val="nil"/>
            </w:tcBorders>
          </w:tcPr>
          <w:p w:rsidR="004435F9" w:rsidRDefault="00125F54">
            <w:pPr>
              <w:pStyle w:val="ConsPlusNormal0"/>
              <w:jc w:val="center"/>
            </w:pPr>
            <w:r>
              <w:t>10</w:t>
            </w:r>
          </w:p>
        </w:tc>
      </w:tr>
      <w:tr w:rsidR="004435F9">
        <w:tc>
          <w:tcPr>
            <w:tcW w:w="3143" w:type="dxa"/>
            <w:gridSpan w:val="2"/>
          </w:tcPr>
          <w:p w:rsidR="004435F9" w:rsidRDefault="00125F54">
            <w:pPr>
              <w:pStyle w:val="ConsPlusNormal0"/>
            </w:pPr>
            <w:r>
              <w:t>Государственная программа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1489724,1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1527334,1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1378829,5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1235873,5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1235873,5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1235873,5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8103508,2</w:t>
            </w:r>
          </w:p>
        </w:tc>
      </w:tr>
      <w:tr w:rsidR="004435F9">
        <w:tc>
          <w:tcPr>
            <w:tcW w:w="3143" w:type="dxa"/>
            <w:gridSpan w:val="2"/>
          </w:tcPr>
          <w:p w:rsidR="004435F9" w:rsidRDefault="00125F54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1444124,1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1480834,1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1332329,5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1189373,5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1189373,5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1189373,5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7825408,2</w:t>
            </w:r>
          </w:p>
        </w:tc>
      </w:tr>
      <w:tr w:rsidR="004435F9">
        <w:tc>
          <w:tcPr>
            <w:tcW w:w="3143" w:type="dxa"/>
            <w:gridSpan w:val="2"/>
          </w:tcPr>
          <w:p w:rsidR="004435F9" w:rsidRDefault="00125F54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1021234,6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1019214,1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1016063,3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6010323,4</w:t>
            </w:r>
          </w:p>
        </w:tc>
      </w:tr>
      <w:tr w:rsidR="004435F9">
        <w:tc>
          <w:tcPr>
            <w:tcW w:w="3143" w:type="dxa"/>
            <w:gridSpan w:val="2"/>
          </w:tcPr>
          <w:p w:rsidR="004435F9" w:rsidRDefault="00125F54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45600,0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278100,0</w:t>
            </w:r>
          </w:p>
        </w:tc>
      </w:tr>
      <w:tr w:rsidR="004435F9">
        <w:tc>
          <w:tcPr>
            <w:tcW w:w="3143" w:type="dxa"/>
            <w:gridSpan w:val="2"/>
          </w:tcPr>
          <w:p w:rsidR="004435F9" w:rsidRDefault="00125F54">
            <w:pPr>
              <w:pStyle w:val="ConsPlusNormal0"/>
            </w:pPr>
            <w:r>
              <w:t>Объем налоговых расходов автономного округа (справочно)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5176,0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5176,0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Региональный проект "Кадры в агропромышленном комплексе"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1.1.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2.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2600,3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2921,6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3110,3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8632,2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2.1.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2600,3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2921,6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3110</w:t>
            </w:r>
            <w:r>
              <w:t>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8632,2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2.1.1.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2600,3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2921,6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3110,3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8632,2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3.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Региональный проект "Благоустройство сельских территорий"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13633,9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31688,7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28349,2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73671,8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3.1.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13633,9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31688,7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28349,2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73671,8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lastRenderedPageBreak/>
              <w:t>3.1.1.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13633,9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31688,7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28349,2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73671,8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4.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Региональный проект "Развитие отраслей и техническая модернизация агропромышленного комплекса"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457465,5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497096,0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351742,2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241209,7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241209,7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241209,7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2029932,8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4.1.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411865,5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450596,0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305242,2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194709,7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194709,7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194709,7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1751832,8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4.2.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45600,0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46500,0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278100,0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5.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</w:t>
            </w:r>
            <w:r>
              <w:t>ереработке дикоросов" (всего), в том числе: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1016024,4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995627,8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995627,8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5991271,4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t>5.1.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1016024,4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995627,8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995627,8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994663,8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5991271,4</w:t>
            </w:r>
          </w:p>
        </w:tc>
      </w:tr>
      <w:tr w:rsidR="004435F9">
        <w:tc>
          <w:tcPr>
            <w:tcW w:w="664" w:type="dxa"/>
          </w:tcPr>
          <w:p w:rsidR="004435F9" w:rsidRDefault="00125F54">
            <w:pPr>
              <w:pStyle w:val="ConsPlusNormal0"/>
            </w:pPr>
            <w:r>
              <w:lastRenderedPageBreak/>
              <w:t>5.1.1.</w:t>
            </w:r>
          </w:p>
        </w:tc>
        <w:tc>
          <w:tcPr>
            <w:tcW w:w="2479" w:type="dxa"/>
          </w:tcPr>
          <w:p w:rsidR="004435F9" w:rsidRDefault="00125F54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1005000,4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984603,8</w:t>
            </w:r>
          </w:p>
        </w:tc>
        <w:tc>
          <w:tcPr>
            <w:tcW w:w="1144" w:type="dxa"/>
          </w:tcPr>
          <w:p w:rsidR="004435F9" w:rsidRDefault="00125F54">
            <w:pPr>
              <w:pStyle w:val="ConsPlusNormal0"/>
            </w:pPr>
            <w:r>
              <w:t>5928019,4</w:t>
            </w:r>
          </w:p>
        </w:tc>
      </w:tr>
    </w:tbl>
    <w:p w:rsidR="004435F9" w:rsidRDefault="004435F9">
      <w:pPr>
        <w:pStyle w:val="ConsPlusNormal0"/>
        <w:ind w:firstLine="540"/>
        <w:jc w:val="both"/>
      </w:pPr>
    </w:p>
    <w:p w:rsidR="004435F9" w:rsidRDefault="004435F9">
      <w:pPr>
        <w:pStyle w:val="ConsPlusNormal0"/>
        <w:ind w:firstLine="540"/>
        <w:jc w:val="both"/>
      </w:pPr>
    </w:p>
    <w:p w:rsidR="004435F9" w:rsidRDefault="004435F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35F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54" w:rsidRDefault="00125F54">
      <w:r>
        <w:separator/>
      </w:r>
    </w:p>
  </w:endnote>
  <w:endnote w:type="continuationSeparator" w:id="0">
    <w:p w:rsidR="00125F54" w:rsidRDefault="001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3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35F9" w:rsidRDefault="00125F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35F9" w:rsidRDefault="00125F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35F9" w:rsidRDefault="00125F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4435F9" w:rsidRDefault="00125F5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435F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35F9" w:rsidRDefault="00125F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35F9" w:rsidRDefault="00125F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35F9" w:rsidRDefault="00125F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4435F9" w:rsidRDefault="00125F5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435F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435F9" w:rsidRDefault="00125F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35F9" w:rsidRDefault="00125F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35F9" w:rsidRDefault="00125F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4435F9" w:rsidRDefault="00125F5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435F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435F9" w:rsidRDefault="00125F5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35F9" w:rsidRDefault="00125F5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35F9" w:rsidRDefault="00125F5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1CD3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4435F9" w:rsidRDefault="00125F5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54" w:rsidRDefault="00125F54">
      <w:r>
        <w:separator/>
      </w:r>
    </w:p>
  </w:footnote>
  <w:footnote w:type="continuationSeparator" w:id="0">
    <w:p w:rsidR="00125F54" w:rsidRDefault="0012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43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35F9" w:rsidRDefault="00125F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</w:t>
          </w:r>
          <w:r>
            <w:rPr>
              <w:rFonts w:ascii="Tahoma" w:hAnsi="Tahoma" w:cs="Tahoma"/>
              <w:sz w:val="16"/>
              <w:szCs w:val="16"/>
            </w:rPr>
            <w:t>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4435F9" w:rsidRDefault="00125F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35F9" w:rsidRDefault="004435F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435F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35F9" w:rsidRDefault="00125F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4435F9" w:rsidRDefault="00125F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03.07.2025</w:t>
          </w:r>
        </w:p>
      </w:tc>
    </w:tr>
  </w:tbl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35F9" w:rsidRDefault="004435F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4435F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435F9" w:rsidRDefault="00125F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Ханты-Ма...</w:t>
          </w:r>
        </w:p>
      </w:tc>
      <w:tc>
        <w:tcPr>
          <w:tcW w:w="2300" w:type="pct"/>
          <w:vAlign w:val="center"/>
        </w:tcPr>
        <w:p w:rsidR="004435F9" w:rsidRDefault="00125F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35F9" w:rsidRDefault="004435F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4435F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435F9" w:rsidRDefault="00125F5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10.11.2023 N 554-п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программе </w:t>
          </w:r>
          <w:r>
            <w:rPr>
              <w:rFonts w:ascii="Tahoma" w:hAnsi="Tahoma" w:cs="Tahoma"/>
              <w:sz w:val="16"/>
              <w:szCs w:val="16"/>
            </w:rPr>
            <w:t>Ханты-Ма...</w:t>
          </w:r>
        </w:p>
      </w:tc>
      <w:tc>
        <w:tcPr>
          <w:tcW w:w="2300" w:type="pct"/>
          <w:vAlign w:val="center"/>
        </w:tcPr>
        <w:p w:rsidR="004435F9" w:rsidRDefault="00125F5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4435F9" w:rsidRDefault="004435F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35F9" w:rsidRDefault="004435F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F9"/>
    <w:rsid w:val="00125F54"/>
    <w:rsid w:val="004435F9"/>
    <w:rsid w:val="0053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5608F-4DE6-4D6F-97A1-F47513C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10.11.2023 N 554-п
(ред. от 28.12.2024)
"О государственной программе Ханты-Мансийского автономного округа - Югры "Развитие агропромышленного комплекса"</vt:lpstr>
    </vt:vector>
  </TitlesOfParts>
  <Company>КонсультантПлюс Версия 4024.00.50</Company>
  <LinksUpToDate>false</LinksUpToDate>
  <CharactersWithSpaces>24754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10.11.2023 N 554-п
(ред. от 28.12.2024)
"О государственной программе Ханты-Мансийского автономного округа - Югры "Развитие агропромышленного комплекса"</dc:title>
  <dc:creator>Мищенко Татьяна Анатольевна</dc:creator>
  <cp:lastModifiedBy>Мищенко Татьяна Анатольевна</cp:lastModifiedBy>
  <cp:revision>2</cp:revision>
  <dcterms:created xsi:type="dcterms:W3CDTF">2025-07-03T10:01:00Z</dcterms:created>
  <dcterms:modified xsi:type="dcterms:W3CDTF">2025-07-03T10:01:00Z</dcterms:modified>
</cp:coreProperties>
</file>