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CC16D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A6057C" w:rsidRDefault="00CC16D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 ПЕНСИОННОМ И СОЦИАЛЬНОМ ОБЕСПЕЧЕНИИ             УЧАСТНИКОВ СВО, ЧЛЕНОВ ИХ СЕМЕЙ И ИНЫХ ЛИЦ</w:t>
      </w:r>
    </w:p>
    <w:p w:rsidR="00A6057C" w:rsidRDefault="00CC16D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57C" w:rsidRDefault="00A60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504"/>
        <w:gridCol w:w="3825"/>
        <w:gridCol w:w="3119"/>
        <w:gridCol w:w="1415"/>
      </w:tblGrid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504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01.0</w:t>
            </w:r>
            <w:r w:rsidR="002579F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(размеры пенсии указаны с учётом районного коэфф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циента 1,5)</w:t>
            </w:r>
          </w:p>
        </w:tc>
        <w:tc>
          <w:tcPr>
            <w:tcW w:w="3825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6057C">
        <w:trPr>
          <w:trHeight w:val="697"/>
        </w:trPr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Народной Республики, воинских формированиях и органов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I группа – 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>42 408,54</w:t>
            </w: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– 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E7462" w:rsidRPr="00AE7462">
              <w:rPr>
                <w:rFonts w:ascii="Times New Roman" w:hAnsi="Times New Roman" w:cs="Times New Roman"/>
                <w:sz w:val="20"/>
                <w:szCs w:val="20"/>
              </w:rPr>
              <w:t>6 544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AE7462" w:rsidRPr="00AE74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– 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>70 608,87</w:t>
            </w: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AE74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E7462" w:rsidRPr="00AE7462">
              <w:rPr>
                <w:rFonts w:ascii="Times New Roman" w:hAnsi="Times New Roman" w:cs="Times New Roman"/>
                <w:sz w:val="20"/>
                <w:szCs w:val="20"/>
              </w:rPr>
              <w:t>84 817,03</w:t>
            </w:r>
          </w:p>
          <w:p w:rsidR="00A6057C" w:rsidRPr="00AE7462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Надбавка на уход </w:t>
            </w: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>к пенсии ГПО – 2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> 205,96</w:t>
            </w:r>
          </w:p>
          <w:p w:rsidR="00A6057C" w:rsidRPr="00AE7462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сведения о государственной регистрации рождения, содержащиеся в Едином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дарственном реестре записей актов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данского состояния;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Сведения об инвалидности, 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щиеся в ГИС ЕЦП;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5.Заявление о доста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A6057C">
        <w:trPr>
          <w:trHeight w:val="1880"/>
        </w:trPr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II группа </w:t>
            </w:r>
            <w:r w:rsidR="006D5BCB" w:rsidRPr="00AE746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>35 340,45</w:t>
            </w: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– </w:t>
            </w:r>
            <w:r w:rsidR="00C0161B" w:rsidRPr="00AE746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61B" w:rsidRPr="00AE7462">
              <w:rPr>
                <w:rFonts w:ascii="Times New Roman" w:hAnsi="Times New Roman" w:cs="Times New Roman"/>
                <w:sz w:val="20"/>
                <w:szCs w:val="20"/>
              </w:rPr>
              <w:t>120,59</w:t>
            </w: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– 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>58 900,72</w:t>
            </w: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</w:p>
          <w:p w:rsidR="00A6057C" w:rsidRPr="00AE7462" w:rsidRDefault="00EA6B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>70 680,86</w:t>
            </w: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– </w:t>
            </w:r>
            <w:r w:rsidR="006D5BCB" w:rsidRPr="00AE74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5BCB" w:rsidRPr="00AE7462">
              <w:rPr>
                <w:rFonts w:ascii="Times New Roman" w:hAnsi="Times New Roman" w:cs="Times New Roman"/>
                <w:sz w:val="20"/>
                <w:szCs w:val="20"/>
              </w:rPr>
              <w:t>738,32</w:t>
            </w: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– </w:t>
            </w:r>
            <w:r w:rsidR="006D5BCB" w:rsidRPr="00AE74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A6BC5"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5BCB" w:rsidRPr="00AE7462">
              <w:rPr>
                <w:rFonts w:ascii="Times New Roman" w:hAnsi="Times New Roman" w:cs="Times New Roman"/>
                <w:sz w:val="20"/>
                <w:szCs w:val="20"/>
              </w:rPr>
              <w:t>984,41</w:t>
            </w:r>
          </w:p>
          <w:p w:rsidR="00A6057C" w:rsidRPr="00AE7462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– </w:t>
            </w:r>
            <w:r w:rsidR="006D5BCB" w:rsidRPr="00AE7462">
              <w:rPr>
                <w:rFonts w:ascii="Times New Roman" w:hAnsi="Times New Roman" w:cs="Times New Roman"/>
                <w:sz w:val="20"/>
                <w:szCs w:val="20"/>
              </w:rPr>
              <w:t>41 230,50</w:t>
            </w:r>
          </w:p>
          <w:p w:rsidR="00A6057C" w:rsidRPr="00AE7462" w:rsidRDefault="00CC16D0" w:rsidP="006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AE74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D5BCB" w:rsidRPr="00AE7462">
              <w:rPr>
                <w:rFonts w:ascii="Times New Roman" w:hAnsi="Times New Roman" w:cs="Times New Roman"/>
                <w:sz w:val="20"/>
                <w:szCs w:val="20"/>
              </w:rPr>
              <w:t>49476,60</w:t>
            </w:r>
            <w:r w:rsidRPr="00AE7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AE7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28 272,35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сведения о государственной регистрации рождения, содержащиеся в Едином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дарственном реестре записей актов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данского состояния;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4.Свидетельство о смерти, сведения о государственной регистрации смерти, содержащиеся в Едином государственном реестре записей актов гражданского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стояния, сведения о государственной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гистрации смерти, содержащиеся в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федеральном информационном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стре, содержащем сведения о населении Российской Федерации;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Справки,  подтверждающие, что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данин пребывал в добровольческом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мировании, выданные воинскими подра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делениями, военными комиссариатами, уполномоченными органами в области обороны, архивными учреждениями;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Родственные отношения подтвержд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гистрации заключения брака содержащ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мися в Едином государственном реестре записей актов гражданского состояния, свидетельством о заключении брака,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детельством о расторжении брака, спра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ками о заключении брака, о расторжении брака, выданными органами записи актов гражданского состояния, и иными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ментами, предусмотренными законод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тельством Российской Федерации;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ка, содержащимися в едином 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жащем сведения о населении Российской Федерации;</w:t>
            </w:r>
          </w:p>
          <w:p w:rsidR="00A6057C" w:rsidRDefault="00CC16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доставке.</w:t>
            </w: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A6057C"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504" w:type="dxa"/>
            <w:shd w:val="clear" w:color="auto" w:fill="auto"/>
          </w:tcPr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82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рение Героя Российской Федерации,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 Заявление о доставке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основанного на доверенности,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 необходимо представить довере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и документ, удостоверяющий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представителя. В случае если 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ренность удостоверена нотариально,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кумента, удостоверяющего личность гражданина, интересы которого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ставляются, не требуется.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Дополнительно для членов семей: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 Документы, подтверждающие факт обучения в организации, осуществля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образовательную деятельность, по очной форме — для детей умершего 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гибшего) в возрасте до 23 лет;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лидами до достижения ими возраста 18 лет.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беззаявительно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 сведений о присвоении 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Героя Российской Федерации,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СФР от федерального органа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полнительной власти (федерального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ударственного органа), высшего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нительного органа субъекта Российской Федерации или иного уполномоченного органа (организации), которыми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денту Российской Федерации внесено представление о присвоении звания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роя Российской Федерации либо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 сведений содержащихся в инфо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мационных системах, оператором 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</w:tc>
        <w:tc>
          <w:tcPr>
            <w:tcW w:w="250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нежной выплаты,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смотренной для Героя Российской Федерации, на количество членов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мьи, имеющих право на ежемесячную денежную выплату</w:t>
            </w: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50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504" w:type="dxa"/>
            <w:shd w:val="clear" w:color="auto" w:fill="auto"/>
          </w:tcPr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4 838,63</w:t>
            </w:r>
          </w:p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3 013,38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получении по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 xml:space="preserve">ного набора соц. услуг в натуральном выражении                    </w:t>
            </w:r>
          </w:p>
          <w:p w:rsidR="00A6057C" w:rsidRDefault="00CC16D0" w:rsidP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</w:t>
            </w:r>
            <w:r w:rsidR="00595D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D7F">
              <w:rPr>
                <w:rFonts w:ascii="Times New Roman" w:hAnsi="Times New Roman" w:cs="Times New Roman"/>
                <w:sz w:val="20"/>
                <w:szCs w:val="20"/>
              </w:rPr>
              <w:t>1 825,25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заявителя;                                                                                                                                                                                                              3.1. Устанавливается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беззаявительно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сведениям ГИС ЕЦП (инвалидам боевых действий);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Устанавливается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порядке на основании сведений об оформлении удостоверения ветерана 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действий, полученных Фондом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от федеральных органов исполнительной власти, иных федеральных государственных органов, осуществляющих выдачу удостоверения ветерана боевых действий;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4.Заявление о доставке.                                               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обучения в организации, осуществля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образовательную деятельность, по очной форме — для детей умершего 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гибшего) в возрасте до 23 лет;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504" w:type="dxa"/>
            <w:shd w:val="clear" w:color="auto" w:fill="auto"/>
          </w:tcPr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8 794,41</w:t>
            </w:r>
          </w:p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3 013,38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получении по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>ного набора соц. услуг в нат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 xml:space="preserve">ральном выражении                </w:t>
            </w:r>
          </w:p>
          <w:p w:rsidR="00A6057C" w:rsidRDefault="00CC16D0" w:rsidP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</w:t>
            </w:r>
            <w:r w:rsidR="00595D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D7F">
              <w:rPr>
                <w:rFonts w:ascii="Times New Roman" w:hAnsi="Times New Roman" w:cs="Times New Roman"/>
                <w:sz w:val="20"/>
                <w:szCs w:val="20"/>
              </w:rPr>
              <w:t>1 825,25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2 640,01</w:t>
            </w:r>
          </w:p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814,76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получении по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>ного набора соц. услуг в нат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 xml:space="preserve">ральном выражении                     </w:t>
            </w:r>
          </w:p>
          <w:p w:rsidR="00A6057C" w:rsidRDefault="00CC16D0" w:rsidP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(размер НСУ- 1</w:t>
            </w:r>
            <w:r w:rsidR="00595D7F">
              <w:rPr>
                <w:rFonts w:ascii="Times New Roman" w:hAnsi="Times New Roman" w:cs="Times New Roman"/>
                <w:sz w:val="20"/>
                <w:szCs w:val="20"/>
              </w:rPr>
              <w:t> 825,25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вследствие военной травмы;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                                                                                              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Устанавливается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порядке на основании сведений об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лидности, содержащихся в ГИС ЕЦП.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дента РФ от 25.07.2025 № 513  «О 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группа - 25782,85  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- 12891,4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группа - 5156,57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щем личность;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 Посредством СМЭВ: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 Сведения о регистрации по месту жительства (пребывания);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 Сведения, подтверждающие факт установления инвалидности вследствие военной травмы (вследствие увечья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обязанностей по контракту о пребывании в добровольческих формированиях;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военной травмы в период прохожд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военной службы, получение увечья (ранения, травмы, контузии) или забол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 в период исполнения обязанностей по контракту о пребывании в добровол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января 2012 г. и выплачивае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нежной компенсации, предусмотренной для  инвалида I группы, на количество членов семьи (включая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82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щем личность;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либо профессиональной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организации или 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организации высшего образования - для детей, достигших 18-летнего возра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та, но не более чем до достижения ими возраста 23 лет;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военнослужащего, гражданина, призва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на военные сборы, гражданина,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бывавшего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вании, или инвалида вследствие военной травмы в течение не менее 5 лет до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стижения ими совершеннолетия - для фактического воспитателя;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 Сведения о регистрации по месту жительства (пребывания);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 Сведения о государственной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смерти;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 Сведения о государственной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 Сведения о государственной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рождения ребенка;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6.5. Сведения о государственной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рождения военнослужащего (гражданина, призванного на военные сборы,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инвалида) - при назначении ежемесячной денежной компенсации родителям;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 Сведения о законных представителях (опекунах, попечителях, родителях);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 Сведения, подтверждающие факт установления инвалидности с детства, - для детей старше 18 лет, ставших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лидами до достижения ими возраста 18 лет;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6.8. Сведения, подтверждающие факт установления инвалидности, - для супр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 (супруга), родителей, фактических воспитателей, являющихся инвалидами и не достигших возраста 50 и 55 лет (соо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ветственно женщина и мужчина);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военно-врачебной комиссии,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тверждающего, что смерть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призванного на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наступила вследствие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 (вследствие увечья (ранения, травмы, контузии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исполнением обязанностей по контракту о пребывании 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ском формировании);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ровании);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 умершим инвалидом военной травмы в период прохождения военной службы (военный билет, справка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комиссариата, военно-медицинские документы, архивные справки);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 умершим гражданином,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 в добровольческом формировании, инвалидности вследствие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полученных в связи с исполнением им обязанностей по контракту о пребывании в добровольческом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нежной компенсации, предусмотренной для  инвалида соответству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группы, на колич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членов семьи (вкл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чая умершего инвалида)</w:t>
            </w: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нежной компенсации, предусмотренной для  инвалида I группы, на количество членов семьи (включая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компенсационных выплат определяется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ходов, составляющих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 членов семьи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служащего/добровольца в составе общих расходов, приходящихся на всех граждан, зарегистрир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ванных в жилом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компенсационных выплат за пользование услугами местной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фонной связи, оказанн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с использованием квартирных телефонов, определяется из расчета 60 процентов фактических расходов независимо от выбранного тарифного плана, но не более 60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центов оплаты расходов при абонентской системе оплаты, предусматрив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ющей неограниченный объем местных телефо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соединений (разгов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ров), с учетом платы за предоставление в 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 абонентской линии независимо от ее типа</w:t>
            </w:r>
            <w:proofErr w:type="gramEnd"/>
          </w:p>
          <w:p w:rsidR="00A6057C" w:rsidRDefault="00A60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компенсационных выплат, связанных с 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нентской платой за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зование радиотрансляц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онной точкой, определ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ется из расчета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фактических расходов</w:t>
            </w:r>
          </w:p>
          <w:p w:rsidR="00A6057C" w:rsidRDefault="00A60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82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щем личность;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об оплате пользования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лым помещением, содержания жилого помещения, взноса на капитальный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монт общего имущества в многокварти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доме, коммунальных и других видов услуг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Сведения об оплате за пользование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использованием квартирных телефонов, радиотрансляционной точкой, коллективными телевизионными анте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нами;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Сведения об оплате установки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тирного телефона по действующим тар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либо профессиональной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организации или 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организации высшего образования - для детей, достигших 18-летнего возра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та, но не более чем до достижения ими возраста 23 лет;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вении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жащего/ добровольца;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Заявление о доставке;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9.  Посредством СМЭВ: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жительства (пребывания);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9.2.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семьи погибшего (умершего)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служащего/добровольца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 регистрации брака, о регистрации рождения)  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жащего/ добровольца);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9.3. Сведения о количестве граждан,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регистрированных по месту жительства в жилом помещении,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которого подлежат компенсации;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9.4. Сведения, подтверждающие право членов семьи на компенсационные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платы;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9.5.Сведения об отсутствии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жденной вступившими в законную силу судебными актами непогашенной задо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женности по оплате жилых помещений и коммунальных услуг, которая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лась за период не более чем три после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 года;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9.6.Сведения, подтверждающие факт установления инвалидности с детства, - для детей старше 18 лет, ставших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обращения: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A6057C" w:rsidRDefault="00A60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 «О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50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3 311,15</w:t>
            </w:r>
          </w:p>
        </w:tc>
        <w:tc>
          <w:tcPr>
            <w:tcW w:w="382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щем личность;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либо профессиональной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организации или 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организации высшего образования - для детей достигших 18-летнего возраста, но не более чем до достижения ими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раста 23 лет;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жительства (пребывания);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 по призыву, либо сведения о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приведших к смерти военнослужащего, с военной травмой;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ключении военно-врачебной комиссии о причинной связи увечья или заболевания, приведших к смерти военнослужащего (сотрудника), с военной травмой;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смерти (в отношении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 (сотрудника), лица, умершего вследствие военной травмы после увол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сках, органах и учреждениях);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рождения ребенка;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установления инвалидности с детства, - для детей старше 18 лет, ставших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лидами до достижения ими возраста 18 лет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месяца, следующего за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стей), и детям лиц, умерших вследствие военной травмы после увольнения с военной службы (службы в войсках,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дивидуально</w:t>
            </w:r>
          </w:p>
        </w:tc>
        <w:tc>
          <w:tcPr>
            <w:tcW w:w="382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щем личность члена семьи погибшего (умершего) военнослужащего, лица,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ходившего службу в иных федеральных органах исполнительной власти;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  <w:r>
              <w:t xml:space="preserve"> 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либо профессиональной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организации или 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организации высшего образования - для детей, достигших 18-летнего возра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та, но не более чем до достижения ими возраста 23 лет;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нахождении на ижд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вении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власти;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жительства (пребывания);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регистрированных в жилом доме;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проведение ремонта индивидуального жилого дома;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установления инвалидности с детства, - для детей старше 18 лет, ставших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лидами до достижения ими возраста 18 лет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A6057C">
        <w:tc>
          <w:tcPr>
            <w:tcW w:w="531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РФ, сотрудников учреждений и органов уголовно-исполнительной системы, органов 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50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82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 лечения и обратно: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лучения медицинской помощи;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50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50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документов на основании договоров, заключенных СФР и его территориальн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Ветераны боевых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ины, ДНР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НР, Запоро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Натуральная форма/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пенсация проезда к месту лечения и обратно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емости в сопровождении направление на медицинскую реабилитацию;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менты, подтверждающие произведенные расходы на оплату сопутствующих услуг (услуги по продаже проездных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тов, расходы за пользование в поездах и на судах морского и внутреннего водного транспорта постельными принадлежн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стями, расходы на провоз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включены в стоимость проездного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мента).</w:t>
            </w:r>
          </w:p>
          <w:p w:rsidR="00A6057C" w:rsidRDefault="00CC16D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транспорте личного пользования –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устанавливающие документы на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портное средство и документы,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ждающие произведенные расходы на топливо (электроэнергию).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 -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– 9 рабочих дней</w:t>
            </w:r>
          </w:p>
        </w:tc>
        <w:tc>
          <w:tcPr>
            <w:tcW w:w="141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имеющие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Изделие можно получить в натуральном виде или приобрести самостоятел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 использованием электронного сертифик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оформления электронного сертиф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ката требуется действующая банковская карта "Мир"</w:t>
            </w: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помощью электронного серт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24.11.1995 № 181-ФЗ «О социальной защите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A6057C">
        <w:tc>
          <w:tcPr>
            <w:tcW w:w="531" w:type="dxa"/>
            <w:shd w:val="clear" w:color="auto" w:fill="auto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нение, травма, контузия), повлекшее за собой наступление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24.02.2022 до 14.11.2024, единовременная выплата производится Фондом «Защитники Отечества», если после 14.11.2024 - выплата производится СФР, с учётом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менной выплаты,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ведённой при получении этого увечья (ранения, травмы, контузии)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тверждающий признание волонтера, направленного (командированного) лица, служащего, работника, привлеченного лица, служащего, работника,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 работы по фортификационному оборудованию рубежей и позиций, а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 работника государственного предпр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ятия инвалидом, с указанием причинно-следственной связи между получением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цом, служащим, работником,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по фортификационному оборудованию рубежей и позиций, а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 работником государственного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ции», от 29 декабря 2022 г. 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тяжелым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100 000 - если увечье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нение, травма, контузия) не предусмотрено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 от 29 июля 1998 г. </w:t>
            </w:r>
            <w:r w:rsidR="00595D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855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зию волонтера, направленного (команд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рованного) лица, служащего, работника, привлеченного лица, лица, служащего, работника, выполняющего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работника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ударственного предприятия, с указанием места, времени, причины и степени тяж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ранения, травмы, контузии;</w:t>
            </w:r>
            <w:proofErr w:type="gramEnd"/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признание волонтера, направленного (командированного) лица, служащего, работника, привлеченного лица, 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щего, работника, выполняющего работы по фортификационному оборудованию рубежей и позиций, а также работника государственного предприятия 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с указанием причинно-следственной связи между получением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 наступлением инвалидности - в случае если увечье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нение, травма, контузия), полученное волонтером, направленным (командир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ванным) лицом, служащим, работником, привлеченным лицом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повлекло за собой наступление инвалидности;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организации, индивидуального предпр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дента РФ от 30.04.2022 № 247 «О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«О поддержке волонтерской деятельности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террито-риях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отдель-ных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семьи,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ющим право на выплату)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получение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детельств о рождении детей, копия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мента, подтверждающего родственные отношения с погибшим (умершим)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лонтером, направленным (командирова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ным) лицом, служащим, работником, привлеченным лицом, лицом, служащим, работником, выполнявшим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или факт нахождения на иждивении, документ о признании лица фактически воспитыва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погибшего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шего) в течение не менее 5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им совершеннолетия);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заявителя и погибшего (умершего) волонтера, направленного (командированного) лица, служащего, работника, привлеченного лица, лица, служащего, работника, выполнявшего работы по фортификационному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ботника государственного предприятия; </w:t>
            </w:r>
            <w:proofErr w:type="gramEnd"/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риториях Донецкой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ки, Республики Крым, Луганской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Республики, Краснодарского края, Белгородской области, Брянской области, Воронежской области, Запорожской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Курской области, Ростовской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Херсонской области и г. Севаст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поля, привлеченного лица и увечьем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нением, травмой, контузией) или забол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ванием, полученными такими волонт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ром, привлеченным лицом при осущест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лении волонтерской деятельности на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риториях Донецкой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ки, Республики Крым, Луганской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Республики, Краснодарского края, Белгородской области, Брянской области, Воронежской области, Запорожской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Курской области, Ростовской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Херсонской области и г. Севаст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поля, выполнении соответствующих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дач, работ (оказании услуг)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Донецкой Народной Республики, Луганской Народной Республики,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области и Херсонской области, в случае если смерть указанных волонтера, привлеченного лица наступила до 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1 года со дня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этих территор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тяжелым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  - если увечье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нение, травма, контузия) не предусмотрено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 от 29 июля 1998 г. № 855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 Заявление о назначении единовреме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зию волонтера, направленного (команд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рованного) лица, служащего, работника, привлеченного лица, лица, служащего, работника, выполняющего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работника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ударственного предприятия, с указанием места, времени, причины и степени тяж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ранения, травмы, контузии;</w:t>
            </w:r>
            <w:proofErr w:type="gramEnd"/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признание волонтера, направленного (командированного) лица, служащего, работника, привлеченного лица, 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щего, работника, выполняющего работы по фортификационному оборудованию рубежей и позиций, а также работника государственного предприятия 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с указанием причинно-следственной связи между получением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 наступлением инвалидности - в случае если увечье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нение, травма, контузия), полученное волонтером, направленным (командир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ванным) лицом, служащим, работником, привлеченным лицом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повлекло за собой наступление инвалидности;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дивидуального предпринимателя о направлении, командировании (при наличии);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организации, индивидуального предпр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и Херсонской областей и членам их семей»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«О поддержке волонтерской деятельности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террито-риях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отдель-ных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5 000 000 (в равных долях всем членам семьи,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ющим право на выплату)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получение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детельств о рождении детей, копия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мента, подтверждающего родственные отношения с погибшим (умершим)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лонтером, направленным (командирова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ным) лицом, служащим, работником, привлеченным лицом, лицом, служащим, работником, выполнявшим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или факт нахождения на иждивении, документ о признании лица фактически воспитыва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погибшего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шего) в течение не менее 5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им совершеннолетия);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заявителя и погибшего (умершего) волонтера, направленного (командированного) лица, служащего, работника, привлеченного лица, лица, служащего, работника, выполнявшего работы по фортификационному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ботника государственного предприятия; </w:t>
            </w:r>
            <w:proofErr w:type="gramEnd"/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дивидуального предпринимателя о направлении, командировании (при наличии)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а также лица, служащего, работника,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шего работы по фортификационному оборудованию рубежей и позиций; </w:t>
            </w:r>
            <w:proofErr w:type="gramEnd"/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(командированного) для выполнения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 на территориях Донецкой Народной Республики, Луганской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публики, Запорожской области и Херсо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области лица, замещающего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дарственную должность, муниципальную должность, государственного гражда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служащего, муниципального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жащего, работника, замещающего в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публичной власти должность, не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несенную к должности государственной или муниципальной службы, работника организации и учреждения, подведо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органам публичной власти,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 иной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организации, работника индивидуального предпринимателя и увечьем (ранением, травмой, контузией) или заболеванием, полученными такими лицом, служащим, работником при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полнении соответствующих задач, работ (оказании услуг) на территориях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Народной Республики, Луганской Народной Республики, Запорожской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 и Херсонской области, в случае если смерть указанных лица, служащего, работника наступила до истечения 1 года со дня возвращения указанных лица, служащего, работника с этих территорий вследствие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увечья (ранения, травмы, контузии) или заболевания,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дательством Российской Федерации об обязательном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тяжелым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  - если увечье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нение, травма, контузия) не предусмотрено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 от 29 июля 1998 г. № 855  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зию волонтера, направленного (команд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рованного) лица, служащего, работника, привлеченного лица, лица, служащего, работника, выполняющего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работника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ударственного предприятия, с указанием места, времени, причины и степени тяж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ранения, травмы, контузии;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признание волонтера, направленного (командированного) лица, служащего, работника, привлеченного лица, 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щего, работника, выполняющего работы по фортификационному оборудованию рубежей и позиций, а также работника государственного предприятия 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с указанием причинно-следственной связи между получением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 наступлением инвалидности - в случае если увечье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нение, травма, контузия), полученное волонтером, направленным (командир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ванным) лицом, служащим, работником, привлеченным лицом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повлекло за собой наступление инвалидности;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организации, индивидуального предпр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247«О поддержке волонтерской деятельности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террито-риях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отдель-ных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ствии указанных лиц - совершеннолетние дети погибшего (умершего) либо в случае отсутствия совершеннолетних детей полнородные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погибшего (умершего)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5 000 000 (в равных долях всем членам семьи,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ющим право на выплату)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получение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детельств о рождении детей, копия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мента, подтверждающего родственные отношения с погибшим (умершим)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лонтером, направленным (командирова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ным) лицом, служащим, работником, привлеченным лицом, лицом, служащим, работником, выполнявшим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или факт нахождения на иждивении, документ о признании лица фактически воспитыва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погибшего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шего) в течение не менее 5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им совершеннолетия);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заявителя и погибшего (умершего) волонтера, направленного (командированного) лица, служащего, работника, привлеченного лица, лица, служащего, работника, выполнявшего работы по фортификационному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ботника государственного предприятия; </w:t>
            </w:r>
            <w:proofErr w:type="gramEnd"/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дивидуального предпринимателя о направлении, командировании (при наличии)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а также лица, служащего, работника,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шего работы по фортификационному оборудованию рубежей и позиций; </w:t>
            </w:r>
            <w:proofErr w:type="gramEnd"/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и увечьем (ранением, травмой, контузией), полученным лицом, служащим, работником, выполнявшим работы по фортификационному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в результате обстрелов, взрывов и (или) разрушений криминогенного характера при исполн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должностных (служебных, трудовых) обязанностей, выполнении работ (оказ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услуг), связанных с фортификацио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оборудованием рубежей и позиций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предусмотренных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законодательством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циальном страховании от несчастных случаев на производстве и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тяжелым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  - если увечье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нение, травма, контузия) не предусмотрено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 от 29 июля 1998 г. № 855  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зию волонтера, направленного (команд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рованного) лица, служащего, работника, привлеченного лица, лица, служащего, работника, выполняющего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работника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ударственного предприятия, с указанием места, времени, причины и степени тяж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ранения, травмы, контузии;</w:t>
            </w:r>
            <w:proofErr w:type="gramEnd"/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признание волонтера, направленного (командированного) лица, служащего, работника, привлеченного лица, 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щего, работника, выполняющего работы по фортификационному оборудованию рубежей и позиций, а также работника государственного предприятия 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дом, с указанием причинно-следственной связи между получением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 наступлением инвалидности - в случае если увечье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нение, травма, контузия), полученное волонтером, направленным (командир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ванным) лицом, служащим, работником, привлеченным лицом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повлекло за собой наступление инвалидности;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организации, индивидуального предпр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 «Об утверждении Правил назначения и осуществл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«О поддержке волонтерской деятельности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террито-риях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отдель-ных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5 000 000 (в равных долях всем членам семьи,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ющим право на выплату)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получение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детельств о рождении детей, копия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мента, подтверждающего родственные отношения с погибшим (умершим)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лонтером, направленным (командирова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ным) лицом, служащим, работником, привлеченным лицом, лицом, служащим, работником, выполнявшим работы по фортификационному оборудованию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или факт нахождения на иждивении, документ о признании лица фактически воспитыва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погибшего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шего) в течение не менее 5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им совершеннолетия);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заявителя и погибшего (умершего) волонтера, направленного (командированного) лица, служащего, работника, привлеченного лица, лица, служащего, работника, выполнявшего работы по фортификационному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ботника государственного предприятия; </w:t>
            </w:r>
            <w:proofErr w:type="gramEnd"/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дивидуального предпринимателя о направлении, командировании (при наличии)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а также лица, служащего, работника,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шего работы по фортификационному оборудованию рубежей и позиций; </w:t>
            </w:r>
            <w:proofErr w:type="gramEnd"/>
          </w:p>
          <w:p w:rsidR="00A6057C" w:rsidRDefault="00CC1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нием, травмой, контузией), полученным работником государственного предпри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 при исполнении уставных задач и функций государственных предприятий, созданных в соответствии со статьями 4 и 4.1 Федерального закона "Об особенн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стях правового регулирования в сфере оборота оружия и в сфере охранной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тельности, а также о мерах по усилению охраны общественного порядка и обесп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общественной безопасности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дельных субъектах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ции",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законодательством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об обязательном социальном 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 от несчастных случаев на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водстве и профессиональных заболев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при осуществлении им видов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вольчестве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добровольцу (волонт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ру) исходя из степени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жести вреда жизни или здоровью добровольца (волонтера):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25 000 - за получение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 вреда здоровью;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60 000 - за получение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здоровью средней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жести;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добровольцу (волонт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ру) в случае получения вреда жизни или здор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вью добровольца (воло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тера), повлекшего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новление инвалидности: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150 000 - в случае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добровольца (воло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тера) инвалидом III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пы;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300 000 - в случае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добровольца (воло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тера) инвалидом II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пы;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500 000 - в случае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добровольца (воло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тера) инвалидом I группы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компенсации с указанием реквизитов для перечисления компенсации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жизни или здоровью добровольца (воло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тера) в соответствии с Порядком 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степени тяжести вреда, причине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здоровью человека, утвержденным приказом Минздрава России от 08.04.2025 № 172н;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терстве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лиц - полнородные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погибшего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2 000 000 (в равных долях всем членам семьи,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ющим право на выплату)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лицевого счета лица, имеющего право на получение компенсации, и страховой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 индивидуального лицевого счета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гибшего (умершего) добровольца (воло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504" w:type="dxa"/>
            <w:shd w:val="clear" w:color="auto" w:fill="auto"/>
          </w:tcPr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45 054,24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 военной службы по призыву (по 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лизации);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504" w:type="dxa"/>
            <w:shd w:val="clear" w:color="auto" w:fill="auto"/>
          </w:tcPr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19 308,96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Сведения о рождении ребенка, о  сме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матери ребенка (в случае регистрации записи соответствующего акта гражда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состояния компетентным органом иностранного государства);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 военной службы по призыву (по 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лизации);                                                                                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A6057C">
        <w:tc>
          <w:tcPr>
            <w:tcW w:w="531" w:type="dxa"/>
            <w:vMerge w:val="restart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дохода семьи и может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50, 75 или 100 % ПМ на детей, установленного в субъекте РФ</w:t>
            </w:r>
          </w:p>
        </w:tc>
        <w:tc>
          <w:tcPr>
            <w:tcW w:w="382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 (детей), в отношении которого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торых) подано заявление (в случае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опеки (попечительства) 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тентным органом иностранного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ства); 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емом заявителем и (или) членом его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мьи, страдающим тяжелой формой хр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нического заболевания;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заявителя или членов его семьи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стве, самоходной машине или другом виде техники, предоставленные в рамках государственной социальной поддержки;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выплат в период их нахождения в академическом отпуске по медицинским показаниям;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лечении по решению суда;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ставленных в рамках государственной социальной поддержки семьи;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объявле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умершими;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в отставку;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пенсации, выплачиваемой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органом или общественным объед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за время исполнения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или общественных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от источников за пределами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законодательством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предусмотрено прохождение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ральной государственной службы,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занной с правоохранительной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стью;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портного,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средства, маломерного судна, самоходной машины или другого вида техники под арестом и (или) в розыске, а также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ционные действия;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сидиях и других поступлениях, имеющих целевой характер расходования и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принимательства;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нобороны и приравненных к ним сил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вым ведомств;   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шими) военную и приравненную к ней службу,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19.Сведения о прохождении заявителем или членами его семьи военной службы по призыву, а также о статусе обучающ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гося в военной профессиональной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зовательной организации, не заключи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шей контракт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дарственном обеспечении;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дицинской организации в связи с 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менностью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дицинской организации, а также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прерывании беременн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(при отсутствии  родового сертиф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ката в форме электронного документа).                                                                                                              22. Сведения, подтверждающие прож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 по адресу места пребывания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тического проживания), указанному в заявлении.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с месяца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A6057C">
        <w:tc>
          <w:tcPr>
            <w:tcW w:w="531" w:type="dxa"/>
            <w:vMerge/>
          </w:tcPr>
          <w:p w:rsidR="00A6057C" w:rsidRDefault="00A60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дохода семьи и может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50, 75 или 100 % ПМ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доспособного населения, установленного в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 РФ</w:t>
            </w:r>
          </w:p>
        </w:tc>
        <w:tc>
          <w:tcPr>
            <w:tcW w:w="382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0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504" w:type="dxa"/>
            <w:shd w:val="clear" w:color="auto" w:fill="auto"/>
          </w:tcPr>
          <w:p w:rsidR="00A6057C" w:rsidRDefault="0059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10 669,64</w:t>
            </w:r>
            <w:r w:rsidR="00CC16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видацией в размере 40 % от среднего заработка, на который начисляются страховые взносы, но не менее 10 103,83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чающихся по очной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обучения и уволенным в связи с ликвидацией организации) пособие назначается на условиях, аналогичных условиям назначения единого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бия.</w:t>
            </w:r>
            <w:proofErr w:type="gramEnd"/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Сведения об усыновлении ребенка (д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плаченном матери ребенка пособии по беременности и родам;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заработке.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говору ОСАГО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порядке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проактивном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режиме) 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стемах необходимых сведений и при предоставлении: 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документа, подтверждающего факт установления инвалидности, 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инвалида (ребенка-инвалида) с заключением о наличии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онно-правовых форм;</w:t>
            </w:r>
          </w:p>
          <w:p w:rsidR="00A6057C" w:rsidRDefault="00CC1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(ребенка-инвалида)</w:t>
            </w:r>
          </w:p>
          <w:p w:rsidR="00A6057C" w:rsidRDefault="00A60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A6057C">
        <w:tc>
          <w:tcPr>
            <w:tcW w:w="531" w:type="dxa"/>
          </w:tcPr>
          <w:p w:rsidR="00A6057C" w:rsidRDefault="00CC1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0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01.07.2020 в ФУ МСЭ опознавательный знак "Инвалид» и 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504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на бесплатную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ковку</w:t>
            </w:r>
          </w:p>
        </w:tc>
        <w:tc>
          <w:tcPr>
            <w:tcW w:w="382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ственной информационной системе «Единая централизованная цифровая платформа в социальной сфере» сведений о транспортном средстве, управляемом инвалидом, или транспортном средстве, перевозящем инвалида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A6057C" w:rsidRDefault="00A6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7C" w:rsidRDefault="00CC1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A6057C" w:rsidRDefault="00A60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057C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1F" w:rsidRDefault="002F421F">
      <w:pPr>
        <w:spacing w:line="240" w:lineRule="auto"/>
      </w:pPr>
      <w:r>
        <w:separator/>
      </w:r>
    </w:p>
  </w:endnote>
  <w:endnote w:type="continuationSeparator" w:id="0">
    <w:p w:rsidR="002F421F" w:rsidRDefault="002F4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1F" w:rsidRDefault="002F421F">
      <w:pPr>
        <w:spacing w:after="0"/>
      </w:pPr>
      <w:r>
        <w:separator/>
      </w:r>
    </w:p>
  </w:footnote>
  <w:footnote w:type="continuationSeparator" w:id="0">
    <w:p w:rsidR="002F421F" w:rsidRDefault="002F42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DC1024"/>
    <w:multiLevelType w:val="singleLevel"/>
    <w:tmpl w:val="FCDC1024"/>
    <w:lvl w:ilvl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0E88"/>
    <w:rsid w:val="0009227E"/>
    <w:rsid w:val="000941FC"/>
    <w:rsid w:val="00094D7C"/>
    <w:rsid w:val="000E2CEB"/>
    <w:rsid w:val="000F4F20"/>
    <w:rsid w:val="00102859"/>
    <w:rsid w:val="00112B0D"/>
    <w:rsid w:val="0013696E"/>
    <w:rsid w:val="001377C6"/>
    <w:rsid w:val="00163D1F"/>
    <w:rsid w:val="00165DC9"/>
    <w:rsid w:val="00170206"/>
    <w:rsid w:val="00195529"/>
    <w:rsid w:val="001C17BA"/>
    <w:rsid w:val="001F5325"/>
    <w:rsid w:val="00213516"/>
    <w:rsid w:val="00213F11"/>
    <w:rsid w:val="002150A9"/>
    <w:rsid w:val="00216306"/>
    <w:rsid w:val="00225704"/>
    <w:rsid w:val="0022597A"/>
    <w:rsid w:val="00246325"/>
    <w:rsid w:val="00250D8A"/>
    <w:rsid w:val="002579F8"/>
    <w:rsid w:val="002628B9"/>
    <w:rsid w:val="00291694"/>
    <w:rsid w:val="00293ACC"/>
    <w:rsid w:val="002B1C8E"/>
    <w:rsid w:val="002C005B"/>
    <w:rsid w:val="002C2753"/>
    <w:rsid w:val="002C2F21"/>
    <w:rsid w:val="002E5009"/>
    <w:rsid w:val="002F421F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726F4"/>
    <w:rsid w:val="00582E6E"/>
    <w:rsid w:val="005923DF"/>
    <w:rsid w:val="005945A0"/>
    <w:rsid w:val="00595D7F"/>
    <w:rsid w:val="005E24FC"/>
    <w:rsid w:val="005F37B9"/>
    <w:rsid w:val="006048F3"/>
    <w:rsid w:val="0061666A"/>
    <w:rsid w:val="006314C4"/>
    <w:rsid w:val="00634023"/>
    <w:rsid w:val="006369E3"/>
    <w:rsid w:val="00646167"/>
    <w:rsid w:val="0064695B"/>
    <w:rsid w:val="0065614A"/>
    <w:rsid w:val="0066538D"/>
    <w:rsid w:val="00675516"/>
    <w:rsid w:val="00676D84"/>
    <w:rsid w:val="00685E97"/>
    <w:rsid w:val="00692E30"/>
    <w:rsid w:val="006C17EF"/>
    <w:rsid w:val="006D1F1C"/>
    <w:rsid w:val="006D5BCB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415CD"/>
    <w:rsid w:val="00A6057C"/>
    <w:rsid w:val="00A956AD"/>
    <w:rsid w:val="00AA0573"/>
    <w:rsid w:val="00AB5716"/>
    <w:rsid w:val="00AD224C"/>
    <w:rsid w:val="00AE7462"/>
    <w:rsid w:val="00B45B99"/>
    <w:rsid w:val="00B85608"/>
    <w:rsid w:val="00B87363"/>
    <w:rsid w:val="00BA2328"/>
    <w:rsid w:val="00BA546B"/>
    <w:rsid w:val="00BB10D8"/>
    <w:rsid w:val="00BB43FA"/>
    <w:rsid w:val="00BD59FA"/>
    <w:rsid w:val="00BD5AB1"/>
    <w:rsid w:val="00BE4989"/>
    <w:rsid w:val="00BF6125"/>
    <w:rsid w:val="00C0161B"/>
    <w:rsid w:val="00C02E4A"/>
    <w:rsid w:val="00C04475"/>
    <w:rsid w:val="00C24C27"/>
    <w:rsid w:val="00C3030E"/>
    <w:rsid w:val="00C33B97"/>
    <w:rsid w:val="00C8767B"/>
    <w:rsid w:val="00C91DD9"/>
    <w:rsid w:val="00CA6DAB"/>
    <w:rsid w:val="00CB3696"/>
    <w:rsid w:val="00CB711E"/>
    <w:rsid w:val="00CB7A93"/>
    <w:rsid w:val="00CC16D0"/>
    <w:rsid w:val="00CC3C20"/>
    <w:rsid w:val="00CD01A4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A6BC5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  <w:rsid w:val="00FF6B4D"/>
    <w:rsid w:val="1BF3C6C6"/>
    <w:rsid w:val="3367EED7"/>
    <w:rsid w:val="3D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38</Pages>
  <Words>12954</Words>
  <Characters>73838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Нордгеймер Евгений Леевич</cp:lastModifiedBy>
  <cp:revision>7</cp:revision>
  <cp:lastPrinted>2025-08-06T11:26:00Z</cp:lastPrinted>
  <dcterms:created xsi:type="dcterms:W3CDTF">2026-01-13T12:54:00Z</dcterms:created>
  <dcterms:modified xsi:type="dcterms:W3CDTF">2026-03-28T06:31:00Z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1049-11.1.0.11719</vt:lpwstr>
  </property>
</Properties>
</file>