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9"/>
        <w:jc w:val="center"/>
        <w:outlineLvl w:val="1"/>
      </w:pPr>
      <w:r/>
      <w:bookmarkStart w:id="0" w:name="Par131"/>
      <w:r/>
      <w:bookmarkEnd w:id="0"/>
      <w:r>
        <w:t xml:space="preserve">Порядок информирования об угрозе совершения</w:t>
      </w:r>
      <w:r/>
    </w:p>
    <w:p>
      <w:pPr>
        <w:pStyle w:val="819"/>
        <w:jc w:val="center"/>
      </w:pPr>
      <w:r>
        <w:t xml:space="preserve">или о совершении террористического акта на объекте</w:t>
      </w:r>
      <w:r/>
    </w:p>
    <w:p>
      <w:pPr>
        <w:pStyle w:val="819"/>
        <w:jc w:val="center"/>
      </w:pPr>
      <w:r>
        <w:t xml:space="preserve">(территории) и реагирования на полученную информацию</w:t>
      </w:r>
      <w:r/>
    </w:p>
    <w:p>
      <w:pPr>
        <w:pStyle w:val="819"/>
        <w:jc w:val="center"/>
      </w:pPr>
      <w:r>
        <w:rPr>
          <w:rFonts w:ascii="Times New Roman" w:hAnsi="Times New Roman" w:cs="Times New Roman"/>
          <w:b w:val="0"/>
        </w:rPr>
        <w:t xml:space="preserve">(в соответствии с постановлением Правительства от</w:t>
      </w:r>
      <w:r>
        <w:rPr>
          <w:rFonts w:ascii="Times New Roman" w:hAnsi="Times New Roman" w:cs="Times New Roman"/>
          <w:b w:val="0"/>
        </w:rPr>
        <w:t xml:space="preserve"> 13.01.2017 </w:t>
      </w:r>
      <w:r>
        <w:rPr>
          <w:rFonts w:ascii="Times New Roman" w:hAnsi="Times New Roman" w:cs="Times New Roman"/>
          <w:b w:val="0"/>
        </w:rPr>
        <w:t xml:space="preserve">№</w:t>
      </w:r>
      <w:r>
        <w:rPr>
          <w:rFonts w:ascii="Times New Roman" w:hAnsi="Times New Roman" w:cs="Times New Roman"/>
          <w:b w:val="0"/>
        </w:rPr>
        <w:t xml:space="preserve">8)</w:t>
      </w:r>
      <w:r/>
    </w:p>
    <w:p>
      <w:pPr>
        <w:pStyle w:val="818"/>
        <w:jc w:val="both"/>
      </w:pPr>
      <w:r/>
      <w:r/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При обнаружении угрозы совершения террористического акта на объекте (территории), получении информации (в том числе анонимной) об угрозе с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овершения террористического акта на объекте (территории) или при совершении террористического акта на объекте (территории) должностное лицо, осуществляющее непосредственное руководство деятельностью работников объекта (территории), либо уполномоченное им л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ицо незамедлительно информирует об этом территориальный орган безопасности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 (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8-901-260-09-04)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, территориальный орган Федеральной службы войск национальной гвардии Российской Федерации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(3466) 41-04-20)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, территориальный орган Министерства внутренних дел Российской Федерации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(02, 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102,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 3466 49-31-11)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 и территориальный о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рган Министерства Российской Федерации по делам гражданской обороны, чрезвычайным ситуациям и ликвидации последствий стихийных бедствий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 (01, 101,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 3466 43-22-74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)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, ЕДДС (112), а также орган (организацию), являющийся правообладателем объекта (территории), и (или) вышестоящий орган (организацию) </w:t>
      </w:r>
      <w:r>
        <w:rPr>
          <w:rFonts w:ascii="TimesNewRoman" w:hAnsi="TimesNewRoman" w:eastAsia="TimesNewRoman" w:cs="TimesNewRoman"/>
          <w:b/>
          <w:bCs/>
          <w:i w:val="0"/>
          <w:iCs w:val="0"/>
          <w:strike w:val="0"/>
          <w:color w:val="ff0000"/>
          <w:sz w:val="24"/>
          <w:szCs w:val="24"/>
        </w:rPr>
        <w:t xml:space="preserve">тел.:________________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.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При направлении в соответствии с  настоящих требований информации об угрозе совершения террористического акта на объекте (территории) или о его совершении с помощью средств связи лицо, передающее информацию, сообщает: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а) свои фамилию, имя, отчество (при наличии) и занимаемую должность;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б) наименование объекта (территории) и его точный адрес;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в) дату и время получения информации об угрозе совершения террористического акта или о его совершении;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г) характер информации об угрозе совершения террористического акта или характер совершенного террористического акта;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д) количество находящихся на объекте (территории) людей;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е) другие значимые сведения по запросу территориального органа безопасности, территориального органа Федеральной службы войск национальной гвар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дии Российской Федерации, территориального органа Министерства внутренних дел Российской Федерации и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бедствий.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Лицо, передавшее информацию об угрозе совершения террористического акта или о его совершении, фиксирует фамилию, имя, отчество (при наличии), занимаемую должность лица, принявшего информацию, а также дату и время ее передачи.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подписью.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При обнаружении угр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озы совершения террористического акта на объекте (территории) или получении информации об угрозе совершения террористического акта должностное лицо, осуществляющее непосредственное руководство деятельностью работников на объекте (территории), обеспечивает: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а) осуществление мероприятий по усилению противодействия терроризму в целях своевременного и адекватного реагирования на возникающие террористические угрозы, предупреждения совершения террористических актов, направленных против объекта (территории);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б) оповещение находящихся на объекте (территории) лиц об угрозе совершения террористического акта;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в) эвакуацию людей;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  <w:rPr>
          <w:rFonts w:ascii="TimesNewRoman" w:hAnsi="TimesNewRoman" w:eastAsia="TimesNewRoman" w:cs="TimesNewRoman"/>
          <w:b w:val="0"/>
          <w:bCs w:val="0"/>
          <w:i w:val="0"/>
          <w:strike w:val="0"/>
          <w:sz w:val="24"/>
          <w:szCs w:val="24"/>
          <w14:ligatures w14:val="none"/>
        </w:rPr>
      </w:pP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  <w:t xml:space="preserve">г) усиление охраны, а также пропускного и внутриобъектового режимов;</w:t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  <w:r>
        <w:rPr>
          <w:rFonts w:ascii="TimesNewRoman" w:hAnsi="TimesNewRoman" w:eastAsia="TimesNewRoman" w:cs="TimesNewRoman"/>
          <w:b w:val="0"/>
          <w:bCs w:val="0"/>
          <w:i w:val="0"/>
          <w:iCs w:val="0"/>
          <w:strike w:val="0"/>
          <w:sz w:val="24"/>
          <w:szCs w:val="24"/>
        </w:rPr>
      </w:r>
    </w:p>
    <w:p>
      <w:pPr>
        <w:pStyle w:val="818"/>
        <w:ind w:firstLine="540"/>
        <w:jc w:val="both"/>
        <w:spacing w:before="240"/>
      </w:pP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д) организацию доступа на объект (территорию) оперативных подразделений территориальных органов безопасности, территориальных органов Федеральной службы войск национальной гвар</w:t>
      </w:r>
      <w:r>
        <w:rPr>
          <w:rFonts w:ascii="TimesNewRoman" w:hAnsi="TimesNewRoman" w:eastAsia="TimesNewRoman" w:cs="TimesNewRoman"/>
          <w:b w:val="0"/>
          <w:i w:val="0"/>
          <w:strike w:val="0"/>
          <w:sz w:val="24"/>
        </w:rPr>
        <w:t xml:space="preserve">дии Российской Федерации, территориальных органов Министерства внутренних дел Российской Федерации и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6">
    <w:name w:val="Heading 1 Char"/>
    <w:basedOn w:val="813"/>
    <w:link w:val="812"/>
    <w:uiPriority w:val="9"/>
    <w:rPr>
      <w:rFonts w:ascii="Arial" w:hAnsi="Arial" w:eastAsia="Arial" w:cs="Arial"/>
      <w:sz w:val="40"/>
      <w:szCs w:val="40"/>
    </w:rPr>
  </w:style>
  <w:style w:type="paragraph" w:styleId="637">
    <w:name w:val="Heading 2"/>
    <w:basedOn w:val="811"/>
    <w:next w:val="811"/>
    <w:link w:val="6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8">
    <w:name w:val="Heading 2 Char"/>
    <w:basedOn w:val="813"/>
    <w:link w:val="637"/>
    <w:uiPriority w:val="9"/>
    <w:rPr>
      <w:rFonts w:ascii="Arial" w:hAnsi="Arial" w:eastAsia="Arial" w:cs="Arial"/>
      <w:sz w:val="34"/>
    </w:rPr>
  </w:style>
  <w:style w:type="paragraph" w:styleId="639">
    <w:name w:val="Heading 3"/>
    <w:basedOn w:val="811"/>
    <w:next w:val="811"/>
    <w:link w:val="64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0">
    <w:name w:val="Heading 3 Char"/>
    <w:basedOn w:val="813"/>
    <w:link w:val="639"/>
    <w:uiPriority w:val="9"/>
    <w:rPr>
      <w:rFonts w:ascii="Arial" w:hAnsi="Arial" w:eastAsia="Arial" w:cs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2">
    <w:name w:val="Heading 4 Char"/>
    <w:basedOn w:val="813"/>
    <w:link w:val="641"/>
    <w:uiPriority w:val="9"/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4">
    <w:name w:val="Heading 5 Char"/>
    <w:basedOn w:val="813"/>
    <w:link w:val="643"/>
    <w:uiPriority w:val="9"/>
    <w:rPr>
      <w:rFonts w:ascii="Arial" w:hAnsi="Arial" w:eastAsia="Arial" w:cs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6">
    <w:name w:val="Heading 6 Char"/>
    <w:basedOn w:val="813"/>
    <w:link w:val="645"/>
    <w:uiPriority w:val="9"/>
    <w:rPr>
      <w:rFonts w:ascii="Arial" w:hAnsi="Arial" w:eastAsia="Arial" w:cs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8">
    <w:name w:val="Heading 7 Char"/>
    <w:basedOn w:val="813"/>
    <w:link w:val="6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0">
    <w:name w:val="Heading 8 Char"/>
    <w:basedOn w:val="813"/>
    <w:link w:val="649"/>
    <w:uiPriority w:val="9"/>
    <w:rPr>
      <w:rFonts w:ascii="Arial" w:hAnsi="Arial" w:eastAsia="Arial" w:cs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2">
    <w:name w:val="Heading 9 Char"/>
    <w:basedOn w:val="813"/>
    <w:link w:val="651"/>
    <w:uiPriority w:val="9"/>
    <w:rPr>
      <w:rFonts w:ascii="Arial" w:hAnsi="Arial" w:eastAsia="Arial" w:cs="Arial"/>
      <w:i/>
      <w:iCs/>
      <w:sz w:val="21"/>
      <w:szCs w:val="21"/>
    </w:rPr>
  </w:style>
  <w:style w:type="paragraph" w:styleId="653">
    <w:name w:val="List Paragraph"/>
    <w:basedOn w:val="811"/>
    <w:uiPriority w:val="34"/>
    <w:qFormat/>
    <w:pPr>
      <w:contextualSpacing/>
      <w:ind w:left="720"/>
    </w:p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1"/>
    <w:next w:val="811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3"/>
    <w:link w:val="655"/>
    <w:uiPriority w:val="10"/>
    <w:rPr>
      <w:sz w:val="48"/>
      <w:szCs w:val="48"/>
    </w:rPr>
  </w:style>
  <w:style w:type="paragraph" w:styleId="657">
    <w:name w:val="Subtitle"/>
    <w:basedOn w:val="811"/>
    <w:next w:val="811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3"/>
    <w:link w:val="657"/>
    <w:uiPriority w:val="11"/>
    <w:rPr>
      <w:sz w:val="24"/>
      <w:szCs w:val="24"/>
    </w:rPr>
  </w:style>
  <w:style w:type="paragraph" w:styleId="659">
    <w:name w:val="Quote"/>
    <w:basedOn w:val="811"/>
    <w:next w:val="811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1"/>
    <w:next w:val="811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1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3"/>
    <w:link w:val="663"/>
    <w:uiPriority w:val="99"/>
  </w:style>
  <w:style w:type="paragraph" w:styleId="665">
    <w:name w:val="Footer"/>
    <w:basedOn w:val="811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3"/>
    <w:link w:val="665"/>
    <w:uiPriority w:val="99"/>
  </w:style>
  <w:style w:type="paragraph" w:styleId="667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9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0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1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2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3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4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6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7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8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9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0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1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3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4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5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6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7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8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95">
    <w:name w:val="footnote text"/>
    <w:basedOn w:val="811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3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812">
    <w:name w:val="Heading 1"/>
    <w:basedOn w:val="811"/>
    <w:next w:val="811"/>
    <w:link w:val="816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basedOn w:val="813"/>
    <w:link w:val="812"/>
    <w:uiPriority w:val="99"/>
    <w:rPr>
      <w:rFonts w:ascii="Arial" w:hAnsi="Arial" w:cs="Arial" w:eastAsiaTheme="minorEastAsia"/>
      <w:b/>
      <w:bCs/>
      <w:color w:val="26282f"/>
      <w:sz w:val="24"/>
      <w:szCs w:val="24"/>
      <w:lang w:eastAsia="ru-RU"/>
    </w:rPr>
  </w:style>
  <w:style w:type="character" w:styleId="817">
    <w:name w:val="footnote reference"/>
    <w:semiHidden/>
    <w:unhideWhenUsed/>
    <w:rPr>
      <w:vertAlign w:val="superscript"/>
    </w:rPr>
  </w:style>
  <w:style w:type="paragraph" w:styleId="818" w:customStyle="1">
    <w:name w:val="ConsPlusNormal"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819" w:customStyle="1">
    <w:name w:val="ConsPlusTitle"/>
    <w:uiPriority w:val="99"/>
    <w:pPr>
      <w:spacing w:after="0" w:line="240" w:lineRule="auto"/>
      <w:widowControl w:val="off"/>
    </w:pPr>
    <w:rPr>
      <w:rFonts w:ascii="Arial" w:hAnsi="Arial" w:cs="Arial" w:eastAsiaTheme="minorEastAsia"/>
      <w:b/>
      <w:bCs/>
      <w:sz w:val="24"/>
      <w:szCs w:val="24"/>
      <w:lang w:eastAsia="ru-RU"/>
    </w:rPr>
  </w:style>
  <w:style w:type="character" w:styleId="820">
    <w:name w:val="Hyperlink"/>
    <w:basedOn w:val="813"/>
    <w:uiPriority w:val="99"/>
    <w:semiHidden/>
    <w:unhideWhenUsed/>
    <w:rPr>
      <w:color w:val="0000ff"/>
      <w:u w:val="single"/>
    </w:rPr>
  </w:style>
  <w:style w:type="paragraph" w:styleId="82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 Алексей Михайлович</dc:creator>
  <cp:keywords/>
  <dc:description/>
  <cp:revision>11</cp:revision>
  <dcterms:created xsi:type="dcterms:W3CDTF">2021-11-24T04:54:00Z</dcterms:created>
  <dcterms:modified xsi:type="dcterms:W3CDTF">2024-05-08T06:00:57Z</dcterms:modified>
</cp:coreProperties>
</file>