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eastAsia="XO Thames"/>
          <w:bCs/>
          <w:sz w:val="28"/>
          <w:szCs w:val="28"/>
        </w:rPr>
      </w:pPr>
      <w:r>
        <w:rPr>
          <w:rFonts w:eastAsia="XO Thames"/>
          <w:bCs/>
          <w:sz w:val="28"/>
          <w:szCs w:val="28"/>
        </w:rPr>
      </w:r>
      <w:r>
        <w:rPr>
          <w:rFonts w:eastAsia="XO Thames"/>
          <w:bCs/>
          <w:sz w:val="28"/>
          <w:szCs w:val="28"/>
        </w:rPr>
      </w:r>
      <w:r/>
    </w:p>
    <w:p>
      <w:pPr>
        <w:ind w:right="-1"/>
        <w:jc w:val="right"/>
        <w:rPr>
          <w:rFonts w:eastAsia="XO Thames"/>
          <w:bCs/>
          <w:sz w:val="28"/>
          <w:szCs w:val="28"/>
        </w:rPr>
      </w:pPr>
      <w:r>
        <w:rPr>
          <w:rFonts w:eastAsia="XO Thames"/>
          <w:bCs/>
          <w:sz w:val="28"/>
          <w:szCs w:val="28"/>
        </w:rPr>
        <w:t xml:space="preserve">ПРОЕКТ</w:t>
      </w:r>
      <w:r>
        <w:rPr>
          <w:rFonts w:eastAsia="XO Thames"/>
          <w:bCs/>
          <w:sz w:val="28"/>
          <w:szCs w:val="28"/>
        </w:rPr>
      </w:r>
      <w:r/>
    </w:p>
    <w:p>
      <w:pPr>
        <w:ind w:right="-1"/>
        <w:jc w:val="center"/>
        <w:rPr>
          <w:bCs/>
          <w:sz w:val="28"/>
          <w:szCs w:val="28"/>
        </w:rPr>
      </w:pPr>
      <w:r>
        <w:rPr>
          <w:rFonts w:eastAsia="XO Thames"/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ОСТАНОВЛЕНИЕ</w:t>
      </w:r>
      <w:r>
        <w:rPr>
          <w:bCs/>
          <w:sz w:val="28"/>
          <w:szCs w:val="28"/>
        </w:rPr>
      </w:r>
      <w:r/>
    </w:p>
    <w:p>
      <w:pPr>
        <w:ind w:right="439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right="3969"/>
        <w:jc w:val="both"/>
        <w:widowControl w:val="off"/>
      </w:pPr>
      <w:r>
        <w:t xml:space="preserve">О внесении изменений в приложение к постановлению администрации города от 29.11.2018 №1394 </w:t>
      </w:r>
      <w:r>
        <w:br/>
        <w:t xml:space="preserve">"Об утверждении Положения об оплате труда </w:t>
      </w:r>
      <w:r>
        <w:br/>
        <w:t xml:space="preserve">и выплатах социального характера работникам м</w:t>
      </w:r>
      <w:r>
        <w:t xml:space="preserve">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  (с изменениями от 19.02.2019 №103, 24.06.2019 №484, 16.08.2019 №688, 21.08.2019 №701, 26.12.2019 №1031,</w:t>
      </w:r>
      <w:r>
        <w:t xml:space="preserve"> 17.08.2020 №710, 13.05.2021 №372, 19.05.2022 №319, 25.07.2022 №500, 10.03.2023 №194, 22.05.2023 №380, 07.11.2023 №949, 11.12.2023 №1073, 31.01.2024 №72, 23.04.2024 №326, 29.11.2024 №1090, 29.01.2025 №70, 15.04.2025 №319, 30.10.2025 №988, 15.12.2025 №1124)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условий оплаты труда работников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Нижневартовска":</w:t>
      </w:r>
      <w:r>
        <w:rPr>
          <w:sz w:val="28"/>
          <w:szCs w:val="28"/>
        </w:rPr>
      </w:r>
      <w:r/>
    </w:p>
    <w:p>
      <w:pPr>
        <w:pStyle w:val="734"/>
        <w:numPr>
          <w:ilvl w:val="0"/>
          <w:numId w:val="3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к постановлению администрации города от 29.11.2018 №1394 "Об утверждении Положения об оплате труда </w:t>
      </w:r>
      <w:r>
        <w:rPr>
          <w:sz w:val="28"/>
          <w:szCs w:val="28"/>
        </w:rPr>
        <w:br/>
        <w:t xml:space="preserve">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 (с изменениями </w:t>
      </w:r>
      <w:r>
        <w:rPr>
          <w:sz w:val="28"/>
          <w:szCs w:val="28"/>
        </w:rPr>
        <w:br/>
        <w:t xml:space="preserve">от 19.02.2019 №103, 24.06.2019 №484, 16.08.2019 №688, 21.08.2019 №701, 26.12.2019 №1031, 17.08.2020 №710, 13.05.2021 №372, 19.05.2022 №31</w:t>
      </w:r>
      <w:r>
        <w:rPr>
          <w:sz w:val="28"/>
          <w:szCs w:val="28"/>
        </w:rPr>
        <w:t xml:space="preserve">9, 25.07.2022 №500, 10.03.2023 №194, 22.05.2023 №380, 07.11.2023 №949, 11.12.2023 №1073, 31.01.2024 №72, 23.04.2024 №326, 29.11.2024 №1090, 29.01.2025 №70, 15.04.2025 №319, 30.10.2025 №988, 15.12.2025 №1124), согласно приложению к настоящему постановлению.</w:t>
      </w:r>
      <w:r>
        <w:rPr>
          <w:sz w:val="28"/>
          <w:szCs w:val="28"/>
        </w:rPr>
      </w:r>
      <w:r/>
    </w:p>
    <w:p>
      <w:pPr>
        <w:pStyle w:val="734"/>
        <w:numPr>
          <w:ilvl w:val="0"/>
          <w:numId w:val="3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73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01.01.2026.</w:t>
      </w:r>
      <w:r>
        <w:rPr>
          <w:sz w:val="28"/>
          <w:szCs w:val="28"/>
        </w:rPr>
      </w:r>
      <w:r/>
    </w:p>
    <w:p>
      <w:pPr>
        <w:pStyle w:val="73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</w:t>
      </w:r>
      <w:r>
        <w:rPr>
          <w:sz w:val="28"/>
          <w:szCs w:val="28"/>
        </w:rPr>
        <w:br/>
        <w:t xml:space="preserve">на управляющего делами администрации города.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jc w:val="righ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righ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Приложение к постановлению</w:t>
      </w:r>
      <w:r>
        <w:rPr>
          <w:b/>
          <w:bCs/>
          <w:sz w:val="28"/>
          <w:szCs w:val="28"/>
        </w:rPr>
      </w:r>
      <w:r/>
    </w:p>
    <w:p>
      <w:pPr>
        <w:jc w:val="righ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</w:t>
      </w:r>
      <w:r>
        <w:rPr>
          <w:b/>
          <w:sz w:val="28"/>
          <w:szCs w:val="28"/>
        </w:rPr>
      </w:r>
      <w:r/>
    </w:p>
    <w:p>
      <w:pPr>
        <w:jc w:val="righ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_</w:t>
      </w:r>
      <w:r>
        <w:rPr>
          <w:b/>
          <w:sz w:val="28"/>
          <w:szCs w:val="28"/>
        </w:rPr>
        <w:t xml:space="preserve">________ № _________</w:t>
      </w:r>
      <w:r>
        <w:rPr>
          <w:b/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приложение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 администрации города от 29.11.2018 №1394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об оплате труда и выплатах социального характера работникам муниципального казенного учреждения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(с изменениями от 19.02.2019 №103, 24.06.2019 №484, 16.08.2019 №688, 21.08.2019 №701, 26.12.2019 №1031, </w:t>
      </w:r>
      <w:r>
        <w:rPr>
          <w:b/>
          <w:sz w:val="28"/>
          <w:szCs w:val="28"/>
        </w:rPr>
        <w:t xml:space="preserve">17.08.2020 №710, 13.05.2021 №372, 19.05.2022 №319, 25.07.2022 №500, 10.03.2023 №194, 22.05.2023 №380, 07.11.2023 №949, 11.12.2023 №1073, 31.01.2024 №72, 23.04.2024 №326, 29.11.2024 №1090, 29.01.2025 №70, 15.04.2025 №319, 30.10.2025 №988, 15.12.2025 №1124):</w:t>
      </w:r>
      <w:r>
        <w:rPr>
          <w:b/>
          <w:bCs/>
          <w:sz w:val="28"/>
          <w:szCs w:val="28"/>
        </w:rPr>
      </w:r>
      <w:r/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734"/>
        <w:numPr>
          <w:ilvl w:val="0"/>
          <w:numId w:val="4"/>
        </w:numPr>
        <w:ind w:left="0" w:firstLine="709"/>
        <w:jc w:val="both"/>
        <w:widowControl w:val="off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1.2 раздела I дополнить </w:t>
      </w:r>
      <w:r>
        <w:rPr>
          <w:sz w:val="28"/>
          <w:szCs w:val="28"/>
        </w:rPr>
        <w:t xml:space="preserve">абзацами следующего содержания:</w:t>
      </w:r>
      <w:r>
        <w:rPr>
          <w:b/>
          <w:bCs/>
          <w:sz w:val="28"/>
          <w:szCs w:val="28"/>
        </w:rPr>
      </w:r>
      <w:r/>
    </w:p>
    <w:p>
      <w:pPr>
        <w:ind w:firstLine="709"/>
        <w:jc w:val="both"/>
        <w:widowControl w:val="off"/>
        <w:rPr>
          <w:color w:val="31849b" w:themeColor="accent5" w:themeShade="BF"/>
          <w:sz w:val="28"/>
          <w:szCs w:val="28"/>
          <w:highlight w:val="white"/>
        </w:rPr>
      </w:pPr>
      <w:r>
        <w:rPr>
          <w:sz w:val="28"/>
          <w:szCs w:val="28"/>
        </w:rPr>
        <w:t xml:space="preserve">«- месячный фонд оплаты труда работника Учреждения – денежные средства (заработная плата), выплачиваемые работнику Учреждения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за выполнение им трудовых функций, включающий в себя оклад (должностной оклад) работника Учреждения по должности в соответствии со штатным расписанием, компенсационные выплаты, стимулирующие выплаты;</w:t>
      </w:r>
      <w:r>
        <w:rPr>
          <w:color w:val="31849b" w:themeColor="accent5" w:themeShade="BF"/>
          <w:sz w:val="28"/>
          <w:szCs w:val="28"/>
          <w:highlight w:val="white"/>
        </w:rPr>
      </w:r>
      <w:r/>
    </w:p>
    <w:p>
      <w:pPr>
        <w:ind w:firstLine="709"/>
        <w:jc w:val="both"/>
        <w:widowControl w:val="off"/>
        <w:rPr>
          <w:rFonts w:eastAsia="XO Thames"/>
          <w:highlight w:val="white"/>
        </w:rPr>
      </w:pPr>
      <w:r>
        <w:rPr>
          <w:sz w:val="28"/>
          <w:szCs w:val="28"/>
          <w:highlight w:val="white"/>
        </w:rPr>
        <w:t xml:space="preserve">- демократические процедуры – принятие решений об осуществлени</w:t>
      </w:r>
      <w:r>
        <w:rPr>
          <w:sz w:val="28"/>
          <w:szCs w:val="28"/>
          <w:highlight w:val="white"/>
        </w:rPr>
        <w:t xml:space="preserve">и стимулирующих выплат работникам Учреждения комиссией по установлению (снижению, отмене) стимулирующих выплат с участием представителя от </w:t>
      </w:r>
      <w:r>
        <w:rPr>
          <w:sz w:val="28"/>
          <w:szCs w:val="28"/>
          <w:highlight w:val="white"/>
        </w:rPr>
        <w:t xml:space="preserve">имени работников Учреждения, выбранного общим собранием, в целях оценки эффективности работы работников Учреждения.».</w:t>
      </w:r>
      <w:r>
        <w:rPr>
          <w:rFonts w:eastAsia="XO Thames"/>
          <w:highlight w:val="white"/>
        </w:rPr>
      </w:r>
      <w:r/>
    </w:p>
    <w:p>
      <w:pPr>
        <w:ind w:left="1418"/>
        <w:jc w:val="both"/>
        <w:widowControl w:val="off"/>
        <w:rPr>
          <w:color w:val="31849b" w:themeColor="accent5" w:themeShade="BF"/>
          <w:sz w:val="28"/>
          <w:szCs w:val="28"/>
          <w:highlight w:val="white"/>
        </w:rPr>
      </w:pPr>
      <w:r>
        <w:rPr>
          <w:color w:val="31849b" w:themeColor="accent5" w:themeShade="BF"/>
          <w:sz w:val="28"/>
          <w:szCs w:val="28"/>
          <w:highlight w:val="white"/>
        </w:rPr>
        <w:t xml:space="preserve"> </w:t>
      </w:r>
      <w:r>
        <w:rPr>
          <w:color w:val="31849b" w:themeColor="accent5" w:themeShade="BF"/>
          <w:sz w:val="28"/>
          <w:szCs w:val="28"/>
          <w:highlight w:val="white"/>
        </w:rPr>
      </w:r>
      <w:r/>
    </w:p>
    <w:p>
      <w:pPr>
        <w:pStyle w:val="734"/>
        <w:numPr>
          <w:ilvl w:val="0"/>
          <w:numId w:val="4"/>
        </w:numPr>
        <w:ind w:left="0" w:firstLine="709"/>
        <w:jc w:val="both"/>
        <w:widowControl w:val="off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Таблицу пункта 2.3 раздела II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после слов «заместитель начальника отдела информационных систем» дополнить </w:t>
      </w:r>
      <w:r>
        <w:rPr>
          <w:color w:val="000000" w:themeColor="text1"/>
          <w:sz w:val="28"/>
          <w:szCs w:val="28"/>
          <w:highlight w:val="white"/>
        </w:rPr>
        <w:t xml:space="preserve">словами </w:t>
      </w:r>
      <w:r>
        <w:rPr>
          <w:sz w:val="28"/>
          <w:szCs w:val="28"/>
          <w:highlight w:val="white"/>
        </w:rPr>
        <w:t xml:space="preserve">«;</w:t>
      </w:r>
      <w:r>
        <w:rPr>
          <w:sz w:val="28"/>
          <w:szCs w:val="28"/>
          <w:highlight w:val="white"/>
        </w:rPr>
        <w:t xml:space="preserve"> заместитель начальника отдела развития информационных технологий.».</w:t>
      </w:r>
      <w:r>
        <w:rPr>
          <w:b/>
          <w:sz w:val="28"/>
          <w:szCs w:val="28"/>
          <w:highlight w:val="white"/>
        </w:rPr>
      </w:r>
      <w:r/>
    </w:p>
    <w:p>
      <w:pPr>
        <w:ind w:left="709"/>
        <w:jc w:val="both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/>
    </w:p>
    <w:p>
      <w:pPr>
        <w:pStyle w:val="734"/>
        <w:numPr>
          <w:ilvl w:val="0"/>
          <w:numId w:val="4"/>
        </w:numPr>
        <w:ind w:left="0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разделе III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/>
    </w:p>
    <w:p>
      <w:pPr>
        <w:pStyle w:val="734"/>
        <w:numPr>
          <w:ilvl w:val="1"/>
          <w:numId w:val="4"/>
        </w:numPr>
        <w:ind w:left="0" w:right="0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Абзац первый пункта 3.2 дополнить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</w:t>
      </w:r>
      <w:r>
        <w:rPr>
          <w:sz w:val="28"/>
          <w:szCs w:val="28"/>
          <w:highlight w:val="white"/>
        </w:rPr>
        <w:t xml:space="preserve"> и сокращения количества рабочих мест, не соответствующих государственным нормативным требованиям охраны труда; разрабатывает программу действий </w:t>
      </w:r>
      <w:r>
        <w:rPr>
          <w:sz w:val="28"/>
          <w:szCs w:val="28"/>
          <w:highlight w:val="white"/>
        </w:rPr>
        <w:t xml:space="preserve">по обеспечению безопасных условий и охраны труда в соответствии</w:t>
      </w:r>
      <w:r>
        <w:rPr>
          <w:sz w:val="28"/>
          <w:szCs w:val="28"/>
          <w:highlight w:val="white"/>
        </w:rPr>
        <w:t xml:space="preserve"> с Федеральным законом от 28.12.2013 №426-ФЗ «О специальной оценке труда».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результатам специальной оценки условий труда производится выплата в размере не менее 4 процентов оклада (должностного оклада). Размер выплаты утверждается приказом руководителя Учреждения.».</w:t>
      </w:r>
      <w:r>
        <w:rPr>
          <w:sz w:val="28"/>
          <w:szCs w:val="28"/>
          <w:highlight w:val="white"/>
        </w:rPr>
      </w:r>
      <w:r/>
    </w:p>
    <w:p>
      <w:pPr>
        <w:pStyle w:val="734"/>
        <w:numPr>
          <w:ilvl w:val="1"/>
          <w:numId w:val="4"/>
        </w:numPr>
        <w:ind w:left="1146" w:right="0" w:hanging="437"/>
        <w:jc w:val="both"/>
        <w:widowControl w:val="off"/>
        <w:rPr>
          <w:iCs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  <w:t xml:space="preserve"> </w:t>
      </w:r>
      <w:r>
        <w:rPr>
          <w:iCs/>
          <w:sz w:val="28"/>
          <w:szCs w:val="28"/>
          <w:highlight w:val="white"/>
        </w:rPr>
        <w:t xml:space="preserve">Пункт 3.5 изложить в следующей редакции:</w:t>
      </w:r>
      <w:r>
        <w:rPr>
          <w:iCs/>
          <w:sz w:val="28"/>
          <w:szCs w:val="28"/>
          <w:highlight w:val="white"/>
        </w:rPr>
      </w:r>
      <w:r/>
    </w:p>
    <w:p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  <w:t xml:space="preserve">«3.5</w:t>
      </w:r>
      <w:r>
        <w:rPr>
          <w:iCs/>
          <w:sz w:val="28"/>
          <w:szCs w:val="28"/>
          <w:highlight w:val="white"/>
        </w:rPr>
        <w:t xml:space="preserve">.</w:t>
      </w:r>
      <w:r>
        <w:rPr>
          <w:color w:val="0f6cc0"/>
          <w:sz w:val="28"/>
          <w:szCs w:val="28"/>
          <w:highlight w:val="whit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Районный коэффициент </w:t>
      </w:r>
      <w:r>
        <w:rPr>
          <w:color w:val="000000"/>
          <w:sz w:val="28"/>
          <w:szCs w:val="28"/>
          <w:highlight w:val="white"/>
          <w:lang w:eastAsia="zh-CN"/>
        </w:rPr>
        <w:t xml:space="preserve">к заработной плате за работу в районах Крайнего Севера 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приравненных к ним местностях и процентная надбавка к зара</w:t>
      </w:r>
      <w:r>
        <w:rPr>
          <w:color w:val="000000"/>
          <w:sz w:val="28"/>
          <w:szCs w:val="28"/>
          <w:highlight w:val="white"/>
          <w:lang w:eastAsia="zh-CN"/>
        </w:rPr>
        <w:t xml:space="preserve">ботной плате за стаж работы в районах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Крайнего Севера и приравненных к ним местностях начисляются на оклады (должностные оклады) 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выплаты, </w:t>
      </w:r>
      <w:r>
        <w:rPr>
          <w:color w:val="000000"/>
          <w:sz w:val="28"/>
          <w:szCs w:val="28"/>
          <w:highlight w:val="white"/>
          <w:lang w:eastAsia="zh-CN"/>
        </w:rPr>
        <w:t xml:space="preserve">предусмотренные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пунктами 3.2, 3.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6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раздела III, пунктами 4.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2, 4.3, 4.4,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4.6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раздела IV настоящего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Положения.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734"/>
        <w:numPr>
          <w:ilvl w:val="1"/>
          <w:numId w:val="4"/>
        </w:numPr>
        <w:ind w:left="1146" w:right="0" w:hanging="43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Пункт 3.6 дополнить абзацами следующего содержания:</w:t>
      </w:r>
      <w:r>
        <w:rPr>
          <w:sz w:val="28"/>
          <w:szCs w:val="28"/>
          <w:highlight w:val="white"/>
        </w:rPr>
      </w:r>
      <w:r/>
    </w:p>
    <w:p>
      <w:pPr>
        <w:pStyle w:val="734"/>
        <w:ind w:left="0" w:firstLine="709"/>
        <w:jc w:val="both"/>
        <w:widowControl w:val="off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«При исполнении работником Учреждения обязанностей временно отсутствующего работника без освобождения от работы, опреде</w:t>
      </w:r>
      <w:r>
        <w:rPr>
          <w:sz w:val="28"/>
          <w:szCs w:val="28"/>
          <w:highlight w:val="white"/>
        </w:rPr>
        <w:t xml:space="preserve">ленной трудовым договором, ему производится доплата в размере, установленном по соглашению сторон трудового договора с учетом содержания и (или) объема дополнительной работы, но не более 70% от оклада по должности по которой осуществляется исполнение обяза</w:t>
      </w:r>
      <w:r>
        <w:rPr>
          <w:sz w:val="28"/>
          <w:szCs w:val="28"/>
          <w:highlight w:val="white"/>
        </w:rPr>
        <w:t xml:space="preserve">нностей работником учреждения, и от установленных работнику Учреждения по его основной должности выплаты за интенсивность и высокие результаты работы, премии по итогам работы за месяц, с применением районного коэффициента за работу в районах крайнего север</w:t>
      </w:r>
      <w:r>
        <w:rPr>
          <w:sz w:val="28"/>
          <w:szCs w:val="28"/>
          <w:highlight w:val="white"/>
        </w:rPr>
        <w:t xml:space="preserve">а и приравненных к ним местностям  и ежемесячной процентной надбавки за стаж работы в районах крайнего севера и приравненных к ним местностям</w:t>
      </w:r>
      <w:r>
        <w:rPr>
          <w:sz w:val="28"/>
          <w:szCs w:val="28"/>
          <w:highlight w:val="white"/>
        </w:rPr>
        <w:t xml:space="preserve">, на основании приказа руководителя Учреждения и по служебной записке (ходатайству) непосредственного руководителя.</w:t>
      </w:r>
      <w:r>
        <w:rPr>
          <w:i/>
          <w:iCs/>
          <w:sz w:val="28"/>
          <w:szCs w:val="28"/>
          <w:highlight w:val="white"/>
        </w:rPr>
      </w:r>
      <w:r/>
    </w:p>
    <w:p>
      <w:pPr>
        <w:pStyle w:val="734"/>
        <w:ind w:left="0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Если дополнительная работа поручается неск</w:t>
      </w:r>
      <w:r>
        <w:rPr>
          <w:sz w:val="28"/>
          <w:szCs w:val="28"/>
          <w:highlight w:val="white"/>
        </w:rPr>
        <w:t xml:space="preserve">ольким работникам </w:t>
      </w:r>
      <w:r>
        <w:rPr>
          <w:sz w:val="28"/>
          <w:szCs w:val="28"/>
          <w:highlight w:val="white"/>
        </w:rPr>
        <w:t xml:space="preserve">Учреждения, то размер доплаты распределяется пропорционально объему дополнительной работы, выполняемой каждым из них. При этом сумма размеров доплаты, установленной этим работникам не может превышать размер установленный абзацем вторым настоящего пункта.».</w:t>
      </w:r>
      <w:r>
        <w:rPr>
          <w:sz w:val="28"/>
          <w:szCs w:val="28"/>
          <w:highlight w:val="white"/>
        </w:rPr>
      </w:r>
      <w:r/>
    </w:p>
    <w:p>
      <w:pPr>
        <w:pStyle w:val="910"/>
        <w:numPr>
          <w:ilvl w:val="1"/>
          <w:numId w:val="4"/>
        </w:numPr>
        <w:ind w:left="0" w:firstLine="709"/>
        <w:jc w:val="both"/>
        <w:tabs>
          <w:tab w:val="left" w:pos="28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Пункт 3.8 изложить в следующей редакции: </w:t>
      </w:r>
      <w:r>
        <w:rPr>
          <w:color w:val="auto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«3.8. Выплаты работникам</w:t>
      </w:r>
      <w:r>
        <w:rPr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занятым на работах с вредными </w:t>
      </w:r>
      <w:r>
        <w:rPr>
          <w:color w:val="auto"/>
          <w:sz w:val="28"/>
          <w:szCs w:val="28"/>
          <w:highlight w:val="white"/>
        </w:rPr>
        <w:t xml:space="preserve">и (или) опасными условиями труда,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</w:t>
      </w:r>
      <w:r>
        <w:rPr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отклоняющихся от нормальных) устанавливаются к окладу (должностному окладу).».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10"/>
        <w:ind w:firstLine="709"/>
        <w:jc w:val="both"/>
        <w:tabs>
          <w:tab w:val="left" w:pos="28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/>
    </w:p>
    <w:p>
      <w:pPr>
        <w:pStyle w:val="734"/>
        <w:numPr>
          <w:ilvl w:val="0"/>
          <w:numId w:val="4"/>
        </w:numPr>
        <w:ind w:left="0" w:firstLine="709"/>
        <w:jc w:val="both"/>
        <w:widowControl w:val="off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разделе IV:</w:t>
      </w:r>
      <w:r>
        <w:rPr>
          <w:b/>
          <w:bCs/>
          <w:sz w:val="28"/>
          <w:szCs w:val="28"/>
          <w:highlight w:val="white"/>
        </w:rPr>
      </w:r>
      <w:r/>
    </w:p>
    <w:p>
      <w:pPr>
        <w:pStyle w:val="734"/>
        <w:numPr>
          <w:ilvl w:val="1"/>
          <w:numId w:val="4"/>
        </w:numPr>
        <w:ind w:hanging="43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Пункт 4.1 дополнить абзацем следующего содержания: </w:t>
      </w:r>
      <w:r>
        <w:rPr>
          <w:bCs/>
          <w:sz w:val="28"/>
          <w:szCs w:val="28"/>
        </w:rPr>
      </w:r>
      <w:r/>
    </w:p>
    <w:p>
      <w:pPr>
        <w:pStyle w:val="910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Для п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риняти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решений об установлении размера стимулирующих выплат проводится оценка эффективности различных категорий работников Учреждения с применением демократических процедур.».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pStyle w:val="910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4.2. Абзац второй подпункта 4.2.1 пункта 4.2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pStyle w:val="910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- работникам, занимающим должности "начальник отдела программно-технических средств", "начальник отдела информационных систем", "начальник отдела развития информационных технологий", "заместитель начальника отдела программно-технических средств", "заместит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ель начальника отдела информационных систем",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"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заместитель начальника отдела развития информационных технологий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"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Calibri" w:hAnsi="Calibri" w:eastAsia="Calibri" w:cs="Calibri"/>
          <w:color w:val="000000"/>
          <w:sz w:val="22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"ведущий инженер-программист", "ведущий инженер-электроник", "инженер-программист 1 категории", "инженер-программист", работникам, выполняющим работу по профессии "водитель автомобиля", - до 100 процентов оклад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а (должностного оклада);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pStyle w:val="910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4.3.    Подпункты 4.2.2 - 4.2.3 пункта 4.2 изложить в следующей редакции: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«4.2.2. Ежемесячная выплата за интенсивность и высокие результаты работы характеризуется степенью напряженности в процессе труда и устанавливается за: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высокую результативность работы;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участие в выполнении важных работ, мероприятий;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безаварийной, безотказной и бесперебойной работы всех служб Учреждения.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4.2.3. Конкретный размер ежемесячной выплаты за интенсивность и высокие результаты работы утверждается приказом руководителя Учреждения.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внов</w:t>
      </w:r>
      <w:r>
        <w:rPr>
          <w:sz w:val="28"/>
          <w:szCs w:val="28"/>
        </w:rPr>
        <w:t xml:space="preserve">ь принятых работников размер выплаты за интенсивность и высокие результаты работы устанавливается по результатам труда к концу полного первого месяца работы, на основании ходатайства (служебной записки) непосредственного руководителя работника Учреждения. 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Конкретный размер ежемесячной выплаты за интенсивность и высокие результаты работы определяется в процентах от оклада (должностного оклада) работника Учреждения.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Размер выплаты за интенсивность и высокие результаты работы может быть изменен или выплата за интенсивность и высокие результаты работы может быть отменена в зависимости от результатов деятельности работника Учреждения. 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Выплата за интенсивность и высокие результаты работы устанавливаются на срок не более 1 года.».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4.4. Подпункт 4.4.2 пункта 4.4 изложить в следующей редакции: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lang w:bidi="ru-RU"/>
        </w:rPr>
        <w:t xml:space="preserve">«4.4.2. Ежемесячная премия устанавливается работникам Учреждения</w:t>
      </w:r>
      <w:r>
        <w:rPr>
          <w:sz w:val="28"/>
          <w:szCs w:val="28"/>
          <w:lang w:bidi="ru-RU"/>
        </w:rPr>
        <w:br/>
        <w:t xml:space="preserve">в размере 90 процентов оклада (должностного оклада).».</w:t>
      </w:r>
      <w:r>
        <w:rPr>
          <w:sz w:val="28"/>
          <w:szCs w:val="28"/>
          <w:highlight w:val="cyan"/>
        </w:rPr>
      </w:r>
      <w:r/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4.5. </w:t>
      </w:r>
      <w:r>
        <w:rPr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Подпункт 4.6.1 пункта 4.6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«4.6.1. </w:t>
      </w:r>
      <w:r>
        <w:rPr>
          <w:sz w:val="28"/>
          <w:szCs w:val="28"/>
          <w:highlight w:val="white"/>
        </w:rPr>
        <w:t xml:space="preserve">Премия по итогам работы за год выплачивается работникам Учреждения в размере до двух окладов (должностных окладов). 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Премия по итогам работы за год направлена на усиление мат</w:t>
      </w:r>
      <w:r>
        <w:rPr>
          <w:sz w:val="28"/>
          <w:szCs w:val="28"/>
        </w:rPr>
        <w:t xml:space="preserve">ериальной заинтересованности работников Учреждения в улучшении результатов работы и зави</w:t>
      </w:r>
      <w:r>
        <w:rPr>
          <w:sz w:val="28"/>
          <w:szCs w:val="28"/>
          <w:highlight w:val="white"/>
        </w:rPr>
        <w:t xml:space="preserve">сит от количества и качества труда работников Учреждения.</w:t>
      </w:r>
      <w:r>
        <w:rPr>
          <w:sz w:val="28"/>
          <w:szCs w:val="28"/>
          <w:highlight w:val="white"/>
        </w:rPr>
      </w:r>
      <w:r/>
    </w:p>
    <w:p>
      <w:pPr>
        <w:pStyle w:val="910"/>
        <w:ind w:firstLine="708"/>
        <w:jc w:val="both"/>
        <w:rPr>
          <w:i/>
          <w:iCs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еречень показателей</w:t>
      </w:r>
      <w:r>
        <w:rPr>
          <w:color w:val="auto"/>
          <w:sz w:val="28"/>
          <w:szCs w:val="28"/>
          <w:highlight w:val="white"/>
        </w:rPr>
        <w:t xml:space="preserve"> для премирования работников Учреждения: </w:t>
      </w:r>
      <w:r>
        <w:rPr>
          <w:i/>
          <w:iCs/>
          <w:color w:val="auto"/>
          <w:sz w:val="28"/>
          <w:szCs w:val="28"/>
          <w:highlight w:val="white"/>
        </w:rPr>
      </w:r>
      <w:r/>
    </w:p>
    <w:p>
      <w:pPr>
        <w:pStyle w:val="910"/>
        <w:ind w:firstLine="567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надлежащее исполнение возложенных на работника Учреждения функций и полномочий в отчетном периоде; </w:t>
      </w:r>
      <w:r>
        <w:rPr>
          <w:color w:val="auto"/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 соблюдение трудовой дисциплины.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i/>
          <w:i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Cs/>
          <w:color w:val="000000" w:themeColor="text1"/>
          <w:sz w:val="28"/>
          <w:szCs w:val="28"/>
          <w:highlight w:val="white"/>
        </w:rPr>
        <w:t xml:space="preserve">Показателем для снижения размера премии работникам Учреждения</w:t>
      </w:r>
      <w:r>
        <w:rPr>
          <w:iCs/>
          <w:color w:val="000000" w:themeColor="text1"/>
          <w:sz w:val="28"/>
          <w:szCs w:val="28"/>
          <w:highlight w:val="white"/>
        </w:rPr>
        <w:t xml:space="preserve"> является наличие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дисциплинарн</w:t>
      </w:r>
      <w:r>
        <w:rPr>
          <w:color w:val="000000" w:themeColor="text1"/>
          <w:sz w:val="28"/>
          <w:szCs w:val="28"/>
          <w:highlight w:val="white"/>
        </w:rPr>
        <w:t xml:space="preserve">ых взысканий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применяемых в течении года и не снятых на момент принятия решения о выплате премии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iCs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 1 случай -  20 проценто</w:t>
      </w:r>
      <w:r>
        <w:rPr>
          <w:color w:val="000000" w:themeColor="text1"/>
          <w:sz w:val="28"/>
          <w:szCs w:val="28"/>
        </w:rPr>
        <w:t xml:space="preserve">в;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 2 случая -  50 процентов;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 3 случая и более - 100 процентов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ind w:left="-142" w:firstLine="850"/>
        <w:jc w:val="both"/>
        <w:rPr>
          <w:i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Cs/>
          <w:color w:val="000000" w:themeColor="text1"/>
          <w:sz w:val="28"/>
          <w:szCs w:val="28"/>
        </w:rPr>
        <w:t xml:space="preserve">Решение о выплате премии по итогам работы за год работнику Учреждения принимается руководителем Учреждения на основании </w:t>
      </w:r>
      <w:r>
        <w:rPr>
          <w:iCs/>
          <w:color w:val="000000" w:themeColor="text1"/>
          <w:sz w:val="28"/>
          <w:szCs w:val="28"/>
        </w:rPr>
        <w:t xml:space="preserve">мотивированной  служебной</w:t>
      </w:r>
      <w:r>
        <w:rPr>
          <w:iCs/>
          <w:color w:val="000000" w:themeColor="text1"/>
          <w:sz w:val="28"/>
          <w:szCs w:val="28"/>
        </w:rPr>
        <w:t xml:space="preserve"> записки (ходатайства) непосредственного руководителя, с учетом показателей влекущих снижения размера премии работникам Учреждения. </w:t>
      </w:r>
      <w:r>
        <w:rPr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Расчет премии по итогам работы за год осуществляется исходя из оклада (должностного оклада) работника Учреждения, действующего на дату издания приказа о выплате премии по итогам работы за год. </w:t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rPr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Для работников Учреждения, уволившихся в те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чение календарного года в связи с расторжением трудового договора по своей инициативе или по инициативе работодателя, расчет премии по итогам работы за год производится из оклада (должностного оклада), действовавшего на дату расторжения трудового договора.</w:t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Конкретный размер премии по итого работы за год утверждается приказом руководителя Учреждения.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i/>
          <w:i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Размер пре</w:t>
      </w:r>
      <w:r>
        <w:rPr>
          <w:sz w:val="28"/>
          <w:szCs w:val="28"/>
          <w:highlight w:val="white"/>
        </w:rPr>
        <w:t xml:space="preserve">мии по итогам работы за год работникам Учреждения може</w:t>
      </w:r>
      <w:r>
        <w:rPr>
          <w:sz w:val="28"/>
          <w:szCs w:val="28"/>
          <w:highlight w:val="white"/>
        </w:rPr>
        <w:t xml:space="preserve">т быть увеличен от фактически установленного размера премии за год за  </w:t>
      </w:r>
      <w:r>
        <w:rPr>
          <w:sz w:val="28"/>
          <w:szCs w:val="28"/>
          <w:highlight w:val="white"/>
        </w:rPr>
        <w:t xml:space="preserve">персональный вклад в общие результаты деятельности Учреждения и выполнение прочей порученной работы, связанной с обеспечением рабочего процесса в размере до двух окладов.</w:t>
      </w:r>
      <w:r>
        <w:rPr>
          <w:i/>
          <w:iCs/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Премия по итогам работы за год выплачивается на основании приказа руководителя Учреждения до 31 декабря текущего финансового года.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Премия по итогам работы за год вып</w:t>
      </w:r>
      <w:r>
        <w:rPr>
          <w:sz w:val="28"/>
          <w:szCs w:val="28"/>
        </w:rPr>
        <w:t xml:space="preserve">лачивается за фактически отработанное время в календарном году.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отработанное время в календарном году для расчета размера премии</w:t>
      </w:r>
      <w:r>
        <w:rPr>
          <w:sz w:val="28"/>
          <w:szCs w:val="28"/>
        </w:rPr>
        <w:br/>
        <w:t xml:space="preserve">по итогам работы за год включается время работы по табелю учета использования рабочего времени, дни нахождения в служебной командировке, на профессиональной подготовке, переподготовке, повышении квалификации, </w:t>
      </w:r>
      <w:r>
        <w:rPr>
          <w:sz w:val="28"/>
          <w:szCs w:val="28"/>
        </w:rPr>
        <w:br/>
        <w:t xml:space="preserve">в ежегодном оплачиваемом отпуске, дни отдыха за работу в выходные </w:t>
      </w:r>
      <w:r>
        <w:rPr>
          <w:sz w:val="28"/>
          <w:szCs w:val="28"/>
        </w:rPr>
        <w:br/>
        <w:t xml:space="preserve">и нерабочие праздничные дни.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недостаточности лимитов бюджетных обязательств на выплату премии по итогам работы за год в текущем году выплата премии по итогам работы за год производится не позднее 15 января следующего года.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наличии экономии фонда оплаты труда размер премии по итогам работы за год предельным размером не ограничивается.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предоставлении работнику Учреждения ежегодного оплачиваемого отпуска премия по итогам работы за год, начисленная в соответствии</w:t>
      </w:r>
      <w:r>
        <w:rPr>
          <w:sz w:val="28"/>
          <w:szCs w:val="28"/>
        </w:rPr>
        <w:br/>
        <w:t xml:space="preserve">с настоящим подпунктом, учитывается при исчислении среднего заработка.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Премия по итогам работы за год выплачивается по основному месту работы и основной занимаемой должности (ставке).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i/>
          <w:i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Премия по итогам работы за год выплачивается работникам Учреждения, прораб</w:t>
      </w:r>
      <w:r>
        <w:rPr>
          <w:sz w:val="28"/>
          <w:szCs w:val="28"/>
        </w:rPr>
        <w:t xml:space="preserve">отавшим полный календарный год, а также работникам Учреждения, проработавшим неполный календарный год по причине поступления на работу в Учреждение в текущем календарном году или нахождения в отпуске по уходу за ребенком до достижения им возраста трех лет.</w:t>
      </w:r>
      <w:r>
        <w:rPr>
          <w:i/>
          <w:iCs/>
          <w:sz w:val="28"/>
          <w:szCs w:val="28"/>
          <w:highlight w:val="yellow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Премия по итогам работы за год также выплачивается лицам, с которыми трудовой договор был прекращен по следующим основаниям: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соглашение сторон;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расторжение трудового договора по инициативе работника;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расторжение трудового договора по инициативе работодателя (ликвидация Учреждения, сокращение численности или штата работников Учреждения);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отказ работника от продолжения работы в связи с изменением определенных сторонами условий трудового договора;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истечение срока трудового договора.».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разделе V: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ab/>
        <w:t xml:space="preserve">В пункте 5.1:</w:t>
      </w:r>
      <w:bookmarkStart w:id="1" w:name="_GoBack"/>
      <w:r/>
      <w:bookmarkEnd w:id="1"/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Подпункт 5.1.4 признать утратившим силу.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5.1.2.</w:t>
      </w:r>
      <w:r>
        <w:rPr>
          <w:color w:val="000000" w:themeColor="text1"/>
          <w:sz w:val="28"/>
          <w:szCs w:val="28"/>
        </w:rPr>
        <w:tab/>
        <w:t xml:space="preserve">Дополнить </w:t>
      </w:r>
      <w:r>
        <w:rPr>
          <w:sz w:val="28"/>
          <w:szCs w:val="28"/>
        </w:rPr>
        <w:t xml:space="preserve">подпунктом 5.1.7 следующего содержания: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«5.1.7. Сумма последней начисленной единовременной выплаты при предоставлении</w:t>
      </w:r>
      <w:r>
        <w:rPr>
          <w:sz w:val="28"/>
          <w:szCs w:val="28"/>
          <w:highlight w:val="white"/>
        </w:rPr>
        <w:t xml:space="preserve"> отпуска независимо от времени ее начисления учитывается для расчета среднего заработка работника Учреждения.».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В разделе 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Абзац первый пункта 6.4 изложить в следующей редакции: </w:t>
      </w:r>
      <w:r>
        <w:rPr>
          <w:sz w:val="28"/>
          <w:szCs w:val="28"/>
        </w:rPr>
      </w:r>
      <w:r/>
    </w:p>
    <w:p>
      <w:pPr>
        <w:ind w:firstLine="708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«6.4. Ежемесячная премия устанавливается в размере 90 процентов оклада (должностного оклада).». </w:t>
      </w:r>
      <w:r>
        <w:rPr>
          <w:i/>
          <w:color w:val="ff0000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right"/>
    </w:pPr>
    <w:fldSimple w:instr="PAGE \* MERGEFORMAT">
      <w:r>
        <w:t xml:space="preserve">1</w:t>
      </w:r>
    </w:fldSimple>
    <w:r/>
    <w:r/>
  </w:p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7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/>
    <w:r/>
  </w:p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8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06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70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  <w:b w:val="0"/>
        <w:highlight w:val="white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904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624" w:hanging="915"/>
      </w:pPr>
      <w:rPr>
        <w:rFonts w:hint="default"/>
      </w:rPr>
    </w:lvl>
    <w:lvl w:ilvl="2">
      <w:start w:val="4"/>
      <w:numFmt w:val="decimal"/>
      <w:isLgl/>
      <w:suff w:val="tab"/>
      <w:lvlText w:val="%1.%2.%3."/>
      <w:lvlJc w:val="left"/>
      <w:pPr>
        <w:ind w:left="1624" w:hanging="9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rPr>
      <w:sz w:val="24"/>
      <w:szCs w:val="24"/>
      <w:lang w:eastAsia="ru-RU"/>
    </w:rPr>
  </w:style>
  <w:style w:type="paragraph" w:styleId="697">
    <w:name w:val="Heading 1"/>
    <w:basedOn w:val="696"/>
    <w:next w:val="696"/>
    <w:link w:val="72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8">
    <w:name w:val="Heading 2"/>
    <w:basedOn w:val="696"/>
    <w:next w:val="696"/>
    <w:link w:val="72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9">
    <w:name w:val="Heading 3"/>
    <w:basedOn w:val="696"/>
    <w:next w:val="696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Caption Char"/>
    <w:uiPriority w:val="99"/>
  </w:style>
  <w:style w:type="character" w:styleId="710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6"/>
    <w:uiPriority w:val="10"/>
    <w:rPr>
      <w:sz w:val="48"/>
      <w:szCs w:val="48"/>
    </w:rPr>
  </w:style>
  <w:style w:type="character" w:styleId="720" w:customStyle="1">
    <w:name w:val="Subtitle Char"/>
    <w:basedOn w:val="706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link w:val="697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698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699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696"/>
    <w:uiPriority w:val="34"/>
    <w:qFormat/>
    <w:pPr>
      <w:contextualSpacing/>
      <w:ind w:left="720"/>
    </w:pPr>
  </w:style>
  <w:style w:type="paragraph" w:styleId="735">
    <w:name w:val="No Spacing"/>
    <w:uiPriority w:val="1"/>
    <w:qFormat/>
  </w:style>
  <w:style w:type="paragraph" w:styleId="736">
    <w:name w:val="Title"/>
    <w:basedOn w:val="696"/>
    <w:next w:val="696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link w:val="736"/>
    <w:uiPriority w:val="10"/>
    <w:rPr>
      <w:sz w:val="48"/>
      <w:szCs w:val="48"/>
    </w:rPr>
  </w:style>
  <w:style w:type="paragraph" w:styleId="738">
    <w:name w:val="Subtitle"/>
    <w:basedOn w:val="696"/>
    <w:next w:val="696"/>
    <w:link w:val="739"/>
    <w:uiPriority w:val="11"/>
    <w:qFormat/>
    <w:pPr>
      <w:spacing w:before="200" w:after="200"/>
    </w:p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696"/>
    <w:next w:val="696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6"/>
    <w:next w:val="696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696"/>
    <w:link w:val="90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5" w:customStyle="1">
    <w:name w:val="Header Char"/>
    <w:uiPriority w:val="99"/>
  </w:style>
  <w:style w:type="paragraph" w:styleId="746">
    <w:name w:val="Footer"/>
    <w:basedOn w:val="696"/>
    <w:link w:val="90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7" w:customStyle="1">
    <w:name w:val="Footer Char"/>
    <w:uiPriority w:val="99"/>
  </w:style>
  <w:style w:type="paragraph" w:styleId="748">
    <w:name w:val="Caption"/>
    <w:basedOn w:val="696"/>
    <w:next w:val="696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Название объекта Знак"/>
    <w:link w:val="748"/>
    <w:uiPriority w:val="99"/>
  </w:style>
  <w:style w:type="table" w:styleId="750">
    <w:name w:val="Table Grid"/>
    <w:basedOn w:val="707"/>
    <w:tblPr/>
  </w:style>
  <w:style w:type="table" w:styleId="7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/>
      <w:u w:val="single"/>
    </w:rPr>
  </w:style>
  <w:style w:type="paragraph" w:styleId="877">
    <w:name w:val="footnote text"/>
    <w:basedOn w:val="696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696"/>
    <w:link w:val="881"/>
    <w:uiPriority w:val="99"/>
    <w:semiHidden/>
    <w:unhideWhenUsed/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696"/>
    <w:next w:val="696"/>
    <w:uiPriority w:val="39"/>
    <w:unhideWhenUsed/>
    <w:pPr>
      <w:spacing w:after="57"/>
    </w:pPr>
  </w:style>
  <w:style w:type="paragraph" w:styleId="884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85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6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7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8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9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90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91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696"/>
    <w:next w:val="696"/>
    <w:uiPriority w:val="99"/>
    <w:unhideWhenUsed/>
  </w:style>
  <w:style w:type="paragraph" w:styleId="894">
    <w:name w:val="Balloon Text"/>
    <w:basedOn w:val="696"/>
    <w:link w:val="895"/>
    <w:uiPriority w:val="99"/>
    <w:semiHidden/>
    <w:rPr>
      <w:sz w:val="2"/>
      <w:szCs w:val="2"/>
      <w:lang w:val="en-US" w:eastAsia="en-US"/>
    </w:rPr>
  </w:style>
  <w:style w:type="character" w:styleId="895" w:customStyle="1">
    <w:name w:val="Текст выноски Знак"/>
    <w:link w:val="894"/>
    <w:uiPriority w:val="99"/>
    <w:semiHidden/>
    <w:rPr>
      <w:rFonts w:cs="Times New Roman"/>
      <w:sz w:val="2"/>
      <w:szCs w:val="2"/>
    </w:rPr>
  </w:style>
  <w:style w:type="paragraph" w:styleId="896">
    <w:name w:val="List"/>
    <w:basedOn w:val="696"/>
    <w:pPr>
      <w:ind w:left="283" w:hanging="283"/>
    </w:pPr>
  </w:style>
  <w:style w:type="paragraph" w:styleId="897">
    <w:name w:val="List Continue"/>
    <w:basedOn w:val="696"/>
    <w:pPr>
      <w:ind w:left="283"/>
      <w:spacing w:after="120"/>
    </w:pPr>
  </w:style>
  <w:style w:type="paragraph" w:styleId="898" w:customStyle="1">
    <w:name w:val="Название"/>
    <w:basedOn w:val="696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9">
    <w:name w:val="Body Text"/>
    <w:basedOn w:val="696"/>
    <w:pPr>
      <w:spacing w:after="120"/>
    </w:pPr>
  </w:style>
  <w:style w:type="character" w:styleId="900" w:customStyle="1">
    <w:name w:val="Верхний колонтитул Знак"/>
    <w:link w:val="744"/>
    <w:uiPriority w:val="99"/>
    <w:rPr>
      <w:sz w:val="24"/>
      <w:szCs w:val="24"/>
    </w:rPr>
  </w:style>
  <w:style w:type="character" w:styleId="901" w:customStyle="1">
    <w:name w:val="Нижний колонтитул Знак"/>
    <w:link w:val="746"/>
    <w:uiPriority w:val="99"/>
    <w:rPr>
      <w:sz w:val="24"/>
      <w:szCs w:val="24"/>
    </w:rPr>
  </w:style>
  <w:style w:type="paragraph" w:styleId="902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03" w:customStyle="1">
    <w:name w:val="1_character"/>
    <w:link w:val="904"/>
    <w:rPr>
      <w:sz w:val="28"/>
      <w:szCs w:val="28"/>
      <w:lang w:eastAsia="ru-RU"/>
    </w:rPr>
  </w:style>
  <w:style w:type="paragraph" w:styleId="904" w:customStyle="1">
    <w:name w:val="1"/>
    <w:basedOn w:val="696"/>
    <w:link w:val="903"/>
    <w:qFormat/>
    <w:pPr>
      <w:numPr>
        <w:ilvl w:val="0"/>
        <w:numId w:val="2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05" w:customStyle="1">
    <w:name w:val="нумерация_character"/>
    <w:link w:val="906"/>
    <w:rPr>
      <w:sz w:val="28"/>
      <w:szCs w:val="28"/>
      <w:lang w:eastAsia="ru-RU"/>
    </w:rPr>
  </w:style>
  <w:style w:type="paragraph" w:styleId="906" w:customStyle="1">
    <w:name w:val="нумерация"/>
    <w:basedOn w:val="696"/>
    <w:link w:val="905"/>
    <w:qFormat/>
    <w:pPr>
      <w:numPr>
        <w:ilvl w:val="1"/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07" w:customStyle="1">
    <w:name w:val="номер_character"/>
    <w:link w:val="908"/>
    <w:rPr>
      <w:sz w:val="28"/>
      <w:szCs w:val="28"/>
      <w:lang w:eastAsia="ru-RU"/>
    </w:rPr>
  </w:style>
  <w:style w:type="paragraph" w:styleId="908" w:customStyle="1">
    <w:name w:val="номер"/>
    <w:basedOn w:val="696"/>
    <w:link w:val="907"/>
    <w:qFormat/>
    <w:pPr>
      <w:numPr>
        <w:ilvl w:val="0"/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09" w:customStyle="1">
    <w:name w:val="s_16"/>
    <w:basedOn w:val="696"/>
    <w:pPr>
      <w:spacing w:before="100" w:beforeAutospacing="1" w:after="100" w:afterAutospacing="1"/>
    </w:pPr>
  </w:style>
  <w:style w:type="paragraph" w:styleId="91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FF14-55B2-43A3-BAF1-6951196C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65</cp:revision>
  <dcterms:created xsi:type="dcterms:W3CDTF">2026-04-29T05:26:00Z</dcterms:created>
  <dcterms:modified xsi:type="dcterms:W3CDTF">2026-05-27T07:35:52Z</dcterms:modified>
  <cp:version>1048576</cp:version>
</cp:coreProperties>
</file>