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051238">
        <w:rPr>
          <w:b/>
          <w:sz w:val="28"/>
          <w:szCs w:val="28"/>
        </w:rPr>
        <w:t xml:space="preserve"> </w:t>
      </w:r>
      <w:r w:rsidR="00051238">
        <w:rPr>
          <w:b/>
          <w:sz w:val="28"/>
          <w:szCs w:val="28"/>
          <w:lang w:val="en-US"/>
        </w:rPr>
        <w:t>I</w:t>
      </w:r>
      <w:r w:rsidR="00051238" w:rsidRPr="00F67453">
        <w:rPr>
          <w:b/>
          <w:sz w:val="28"/>
          <w:szCs w:val="28"/>
        </w:rPr>
        <w:t xml:space="preserve"> </w:t>
      </w:r>
      <w:r w:rsidR="00051238">
        <w:rPr>
          <w:b/>
          <w:sz w:val="28"/>
          <w:szCs w:val="28"/>
        </w:rPr>
        <w:t xml:space="preserve">квартал </w:t>
      </w:r>
      <w:r w:rsidR="00185AF1" w:rsidRPr="00D635D4">
        <w:rPr>
          <w:b/>
          <w:sz w:val="28"/>
          <w:szCs w:val="28"/>
        </w:rPr>
        <w:t>202</w:t>
      </w:r>
      <w:r w:rsidR="00051238">
        <w:rPr>
          <w:b/>
          <w:sz w:val="28"/>
          <w:szCs w:val="28"/>
        </w:rPr>
        <w:t>2</w:t>
      </w:r>
      <w:r w:rsidR="00185AF1" w:rsidRPr="00D635D4">
        <w:rPr>
          <w:b/>
          <w:sz w:val="28"/>
          <w:szCs w:val="28"/>
        </w:rPr>
        <w:t xml:space="preserve"> год</w:t>
      </w:r>
      <w:r w:rsidR="00051238">
        <w:rPr>
          <w:b/>
          <w:sz w:val="28"/>
          <w:szCs w:val="28"/>
        </w:rPr>
        <w:t>а</w:t>
      </w:r>
    </w:p>
    <w:p w:rsidR="00E22D01" w:rsidRPr="00D635D4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Pr="000D79AB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AD0" w:rsidRPr="00262AD0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</w:t>
      </w:r>
      <w:r w:rsidRPr="00262AD0">
        <w:rPr>
          <w:sz w:val="28"/>
          <w:szCs w:val="28"/>
          <w:lang w:val="en-US"/>
        </w:rPr>
        <w:t>I</w:t>
      </w:r>
      <w:r w:rsidRPr="00262AD0">
        <w:rPr>
          <w:sz w:val="28"/>
          <w:szCs w:val="28"/>
        </w:rPr>
        <w:t xml:space="preserve"> квартал 2022 года приняты правовые акты в сфере закупок товаров, работ и услуг:</w:t>
      </w:r>
    </w:p>
    <w:p w:rsidR="00D51621" w:rsidRPr="00262AD0" w:rsidRDefault="00262AD0" w:rsidP="003A00F0">
      <w:pPr>
        <w:widowControl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- постановление администрации города от 10.02.2022 №62 «О внесении изменений в приложение 1 к постановлению администрации города </w:t>
      </w:r>
      <w:r>
        <w:rPr>
          <w:sz w:val="28"/>
          <w:szCs w:val="28"/>
        </w:rPr>
        <w:t xml:space="preserve">                         </w:t>
      </w:r>
      <w:r w:rsidRPr="00262AD0">
        <w:rPr>
          <w:sz w:val="28"/>
          <w:szCs w:val="28"/>
        </w:rPr>
        <w:t>от 08.12.2015 №2178 «Об утверждении правил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учреждений» (с изменениями от 06.06.2016 №820, 13.07.2016 №1035, 13.10.2016 №1493, 12.12.2016 №1806, 18.08.2017 №1276, 23.04.2021 №331)».</w:t>
      </w:r>
    </w:p>
    <w:p w:rsidR="00262AD0" w:rsidRPr="00D635D4" w:rsidRDefault="00262AD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A37539" w:rsidRPr="00D635D4" w:rsidRDefault="00A37539" w:rsidP="003A00F0">
      <w:pPr>
        <w:widowControl w:val="0"/>
        <w:ind w:firstLine="709"/>
        <w:jc w:val="both"/>
        <w:rPr>
          <w:sz w:val="28"/>
          <w:szCs w:val="28"/>
        </w:rPr>
      </w:pPr>
    </w:p>
    <w:p w:rsidR="00156BF0" w:rsidRPr="00BF11CB" w:rsidRDefault="00C500FA" w:rsidP="00156B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F11CB">
        <w:rPr>
          <w:rFonts w:eastAsia="Calibri"/>
          <w:sz w:val="28"/>
          <w:szCs w:val="28"/>
        </w:rPr>
        <w:t xml:space="preserve">В </w:t>
      </w:r>
      <w:r w:rsidRPr="00BF11CB">
        <w:rPr>
          <w:rFonts w:eastAsia="Calibri"/>
          <w:sz w:val="28"/>
          <w:szCs w:val="28"/>
          <w:lang w:val="en-US"/>
        </w:rPr>
        <w:t>I</w:t>
      </w:r>
      <w:r w:rsidRPr="00BF11CB">
        <w:rPr>
          <w:rFonts w:eastAsia="Calibri"/>
          <w:sz w:val="28"/>
          <w:szCs w:val="28"/>
        </w:rPr>
        <w:t xml:space="preserve"> квартале</w:t>
      </w:r>
      <w:r w:rsidR="00D75FE2" w:rsidRPr="00BF11CB">
        <w:rPr>
          <w:rFonts w:eastAsia="Calibri"/>
          <w:sz w:val="28"/>
          <w:szCs w:val="28"/>
        </w:rPr>
        <w:t xml:space="preserve"> 202</w:t>
      </w:r>
      <w:r w:rsidR="00BF11CB" w:rsidRPr="00BF11CB">
        <w:rPr>
          <w:rFonts w:eastAsia="Calibri"/>
          <w:sz w:val="28"/>
          <w:szCs w:val="28"/>
        </w:rPr>
        <w:t>2</w:t>
      </w:r>
      <w:r w:rsidR="00D75FE2" w:rsidRPr="00BF11CB">
        <w:rPr>
          <w:rFonts w:eastAsia="Calibri"/>
          <w:sz w:val="28"/>
          <w:szCs w:val="28"/>
        </w:rPr>
        <w:t xml:space="preserve"> год</w:t>
      </w:r>
      <w:r w:rsidR="00BF11CB" w:rsidRPr="00BF11CB">
        <w:rPr>
          <w:rFonts w:eastAsia="Calibri"/>
          <w:sz w:val="28"/>
          <w:szCs w:val="28"/>
        </w:rPr>
        <w:t>а</w:t>
      </w:r>
      <w:r w:rsidR="00D75FE2" w:rsidRPr="00BF11CB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Pr="00BF11CB">
        <w:rPr>
          <w:rFonts w:eastAsia="Calibri"/>
          <w:sz w:val="28"/>
          <w:szCs w:val="28"/>
        </w:rPr>
        <w:t>12</w:t>
      </w:r>
      <w:r w:rsidR="00970F32" w:rsidRPr="00BF11CB">
        <w:rPr>
          <w:rFonts w:eastAsia="Calibri"/>
          <w:sz w:val="28"/>
          <w:szCs w:val="28"/>
        </w:rPr>
        <w:t xml:space="preserve"> </w:t>
      </w:r>
      <w:r w:rsidR="00D75FE2" w:rsidRPr="00BF11CB">
        <w:rPr>
          <w:rFonts w:eastAsia="Calibri"/>
          <w:sz w:val="28"/>
          <w:szCs w:val="28"/>
        </w:rPr>
        <w:t>специалист</w:t>
      </w:r>
      <w:r w:rsidR="00156BF0" w:rsidRPr="00BF11CB">
        <w:rPr>
          <w:rFonts w:eastAsia="Calibri"/>
          <w:sz w:val="28"/>
          <w:szCs w:val="28"/>
        </w:rPr>
        <w:t>ов</w:t>
      </w:r>
      <w:r w:rsidR="00D75FE2" w:rsidRPr="00BF11CB">
        <w:rPr>
          <w:rFonts w:eastAsia="Calibri"/>
          <w:sz w:val="28"/>
          <w:szCs w:val="28"/>
        </w:rPr>
        <w:t xml:space="preserve">, занятых в сфере закупок. </w:t>
      </w:r>
    </w:p>
    <w:p w:rsidR="00F43007" w:rsidRPr="00604AB3" w:rsidRDefault="00F43007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04AB3">
        <w:rPr>
          <w:rFonts w:eastAsiaTheme="minorEastAsia"/>
          <w:color w:val="000000"/>
          <w:sz w:val="28"/>
          <w:szCs w:val="28"/>
        </w:rPr>
        <w:t>Кроме того, управление муниципальных закупок и муниципальные заказчиками приняли участие в следующих мероприятиях:</w:t>
      </w:r>
    </w:p>
    <w:p w:rsidR="00F43007" w:rsidRPr="00604AB3" w:rsidRDefault="00F43007" w:rsidP="00F43007">
      <w:pPr>
        <w:widowControl w:val="0"/>
        <w:ind w:firstLine="709"/>
        <w:jc w:val="both"/>
        <w:rPr>
          <w:sz w:val="28"/>
          <w:szCs w:val="28"/>
        </w:rPr>
      </w:pPr>
      <w:r w:rsidRPr="00604AB3">
        <w:rPr>
          <w:rFonts w:eastAsiaTheme="minorEastAsia"/>
          <w:color w:val="000000"/>
          <w:sz w:val="28"/>
          <w:szCs w:val="28"/>
        </w:rPr>
        <w:t xml:space="preserve">- </w:t>
      </w:r>
      <w:r w:rsidRPr="00604AB3">
        <w:rPr>
          <w:sz w:val="28"/>
          <w:szCs w:val="28"/>
        </w:rPr>
        <w:t>онлайн-семинар</w:t>
      </w:r>
      <w:r w:rsidR="00604AB3">
        <w:rPr>
          <w:sz w:val="28"/>
          <w:szCs w:val="28"/>
        </w:rPr>
        <w:t>е</w:t>
      </w:r>
      <w:r w:rsidRPr="00604AB3">
        <w:rPr>
          <w:sz w:val="28"/>
          <w:szCs w:val="28"/>
        </w:rPr>
        <w:t xml:space="preserve"> на тему «Актуальные изменения законодательства о контрактной системе в сфере закупок. Оптимизационный пакет. Новые правила оценки заявок, дополнительные требования к участникам закупок» </w:t>
      </w:r>
      <w:r w:rsidR="008E6F1B" w:rsidRPr="00604AB3">
        <w:rPr>
          <w:sz w:val="28"/>
          <w:szCs w:val="28"/>
        </w:rPr>
        <w:t>организованн</w:t>
      </w:r>
      <w:r w:rsidR="00442148">
        <w:rPr>
          <w:sz w:val="28"/>
          <w:szCs w:val="28"/>
        </w:rPr>
        <w:t>о</w:t>
      </w:r>
      <w:r w:rsidR="008E6F1B" w:rsidRPr="00604AB3">
        <w:rPr>
          <w:sz w:val="28"/>
          <w:szCs w:val="28"/>
        </w:rPr>
        <w:t xml:space="preserve">м </w:t>
      </w:r>
      <w:r w:rsidRPr="00604AB3">
        <w:rPr>
          <w:sz w:val="28"/>
          <w:szCs w:val="28"/>
        </w:rPr>
        <w:t>Комитет</w:t>
      </w:r>
      <w:r w:rsidR="008E6F1B" w:rsidRPr="00604AB3">
        <w:rPr>
          <w:sz w:val="28"/>
          <w:szCs w:val="28"/>
        </w:rPr>
        <w:t>ом</w:t>
      </w:r>
      <w:r w:rsidRPr="00604AB3">
        <w:rPr>
          <w:sz w:val="28"/>
          <w:szCs w:val="28"/>
        </w:rPr>
        <w:t xml:space="preserve"> по государственному заказу Санкт-Петербурга совместно с Министерством финансов Российской Федерации</w:t>
      </w:r>
      <w:r w:rsidR="008E6F1B" w:rsidRPr="00604AB3">
        <w:rPr>
          <w:sz w:val="28"/>
          <w:szCs w:val="28"/>
        </w:rPr>
        <w:t xml:space="preserve"> (17.01.2022);</w:t>
      </w:r>
    </w:p>
    <w:p w:rsidR="008E6F1B" w:rsidRPr="00604AB3" w:rsidRDefault="00604AB3" w:rsidP="00F43007">
      <w:pPr>
        <w:widowControl w:val="0"/>
        <w:ind w:firstLine="709"/>
        <w:jc w:val="both"/>
        <w:rPr>
          <w:sz w:val="28"/>
          <w:szCs w:val="28"/>
        </w:rPr>
      </w:pPr>
      <w:r w:rsidRPr="00604AB3">
        <w:rPr>
          <w:sz w:val="28"/>
          <w:szCs w:val="28"/>
        </w:rPr>
        <w:t xml:space="preserve">- </w:t>
      </w:r>
      <w:r w:rsidR="008E6F1B" w:rsidRPr="00604AB3">
        <w:rPr>
          <w:sz w:val="28"/>
          <w:szCs w:val="28"/>
        </w:rPr>
        <w:t>вебинар</w:t>
      </w:r>
      <w:r>
        <w:rPr>
          <w:sz w:val="28"/>
          <w:szCs w:val="28"/>
        </w:rPr>
        <w:t>е</w:t>
      </w:r>
      <w:r w:rsidRPr="00604AB3">
        <w:rPr>
          <w:sz w:val="28"/>
          <w:szCs w:val="28"/>
        </w:rPr>
        <w:t xml:space="preserve"> на</w:t>
      </w:r>
      <w:r w:rsidR="008E6F1B" w:rsidRPr="00604AB3">
        <w:rPr>
          <w:sz w:val="28"/>
          <w:szCs w:val="28"/>
        </w:rPr>
        <w:t xml:space="preserve"> тем</w:t>
      </w:r>
      <w:r w:rsidRPr="00604AB3">
        <w:rPr>
          <w:sz w:val="28"/>
          <w:szCs w:val="28"/>
        </w:rPr>
        <w:t>у</w:t>
      </w:r>
      <w:r w:rsidR="008E6F1B" w:rsidRPr="00604AB3">
        <w:rPr>
          <w:sz w:val="28"/>
          <w:szCs w:val="28"/>
        </w:rPr>
        <w:t xml:space="preserve"> «Дополнительные требования к учас</w:t>
      </w:r>
      <w:r w:rsidRPr="00604AB3">
        <w:rPr>
          <w:sz w:val="28"/>
          <w:szCs w:val="28"/>
        </w:rPr>
        <w:t>тникам закупок и оценка заявок» организованн</w:t>
      </w:r>
      <w:r w:rsidR="00442148">
        <w:rPr>
          <w:sz w:val="28"/>
          <w:szCs w:val="28"/>
        </w:rPr>
        <w:t>ом</w:t>
      </w:r>
      <w:r w:rsidR="008E6F1B" w:rsidRPr="00604AB3">
        <w:rPr>
          <w:sz w:val="28"/>
          <w:szCs w:val="28"/>
        </w:rPr>
        <w:t xml:space="preserve"> </w:t>
      </w:r>
      <w:r w:rsidRPr="00604AB3">
        <w:rPr>
          <w:sz w:val="28"/>
          <w:szCs w:val="28"/>
        </w:rPr>
        <w:t>АО «Электронные торговые системы» (27.01.2022);</w:t>
      </w:r>
    </w:p>
    <w:p w:rsidR="008E6F1B" w:rsidRPr="00604AB3" w:rsidRDefault="008E6F1B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04AB3">
        <w:rPr>
          <w:sz w:val="28"/>
          <w:szCs w:val="28"/>
        </w:rPr>
        <w:t xml:space="preserve">- </w:t>
      </w:r>
      <w:r w:rsidRPr="00604AB3">
        <w:rPr>
          <w:bCs/>
          <w:sz w:val="28"/>
          <w:szCs w:val="28"/>
        </w:rPr>
        <w:t>вебинар</w:t>
      </w:r>
      <w:r w:rsidR="00604AB3">
        <w:rPr>
          <w:bCs/>
          <w:sz w:val="28"/>
          <w:szCs w:val="28"/>
        </w:rPr>
        <w:t>е</w:t>
      </w:r>
      <w:r w:rsidR="00442148">
        <w:rPr>
          <w:bCs/>
          <w:sz w:val="28"/>
          <w:szCs w:val="28"/>
        </w:rPr>
        <w:t xml:space="preserve"> на тему</w:t>
      </w:r>
      <w:r w:rsidRPr="00604AB3">
        <w:rPr>
          <w:bCs/>
          <w:sz w:val="28"/>
          <w:szCs w:val="28"/>
        </w:rPr>
        <w:t xml:space="preserve"> «Второй оптимизационный пакет. Применение Закона № 44-ФЗ»</w:t>
      </w:r>
      <w:r w:rsidRPr="00604AB3">
        <w:rPr>
          <w:sz w:val="28"/>
          <w:szCs w:val="28"/>
        </w:rPr>
        <w:t xml:space="preserve"> организованн</w:t>
      </w:r>
      <w:r w:rsidR="00442148">
        <w:rPr>
          <w:sz w:val="28"/>
          <w:szCs w:val="28"/>
        </w:rPr>
        <w:t>ом</w:t>
      </w:r>
      <w:r w:rsidRPr="00604AB3">
        <w:rPr>
          <w:sz w:val="28"/>
          <w:szCs w:val="28"/>
        </w:rPr>
        <w:t xml:space="preserve"> департаментом государственного заказа Ханты-Мансийского автономного округа – Югры совместно с Институтом госзакупок (г. Москва) (14.02.2022)</w:t>
      </w:r>
      <w:r w:rsidR="00604AB3" w:rsidRPr="00604AB3">
        <w:rPr>
          <w:sz w:val="28"/>
          <w:szCs w:val="28"/>
        </w:rPr>
        <w:t>.</w:t>
      </w:r>
    </w:p>
    <w:p w:rsidR="00BF11CB" w:rsidRPr="00BF11CB" w:rsidRDefault="00BF11CB" w:rsidP="00BF11CB">
      <w:pPr>
        <w:ind w:firstLine="709"/>
        <w:jc w:val="both"/>
        <w:rPr>
          <w:color w:val="FF0000"/>
          <w:sz w:val="26"/>
          <w:szCs w:val="26"/>
        </w:rPr>
      </w:pPr>
    </w:p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lastRenderedPageBreak/>
        <w:t>3.1. Информация об исполнении плана-графика осуществления закупок</w:t>
      </w: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</w:t>
      </w:r>
      <w:r w:rsidR="00BF11CB">
        <w:rPr>
          <w:sz w:val="28"/>
          <w:szCs w:val="28"/>
        </w:rPr>
        <w:t>22</w:t>
      </w:r>
      <w:r w:rsidRPr="00D635D4">
        <w:rPr>
          <w:sz w:val="28"/>
          <w:szCs w:val="28"/>
        </w:rPr>
        <w:t xml:space="preserve"> год, (далее – планы-графики)</w:t>
      </w:r>
      <w:r w:rsidR="00D635D4" w:rsidRPr="00D635D4"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</w:t>
      </w:r>
      <w:r w:rsidR="00D635D4" w:rsidRPr="00D635D4">
        <w:rPr>
          <w:sz w:val="28"/>
          <w:szCs w:val="28"/>
        </w:rPr>
        <w:t xml:space="preserve">по состоянию на </w:t>
      </w:r>
      <w:r w:rsidR="00BF11CB">
        <w:rPr>
          <w:sz w:val="28"/>
          <w:szCs w:val="28"/>
        </w:rPr>
        <w:t>31.03.2022</w:t>
      </w:r>
      <w:r w:rsidRPr="00D635D4">
        <w:rPr>
          <w:sz w:val="28"/>
          <w:szCs w:val="28"/>
        </w:rPr>
        <w:t xml:space="preserve"> составил </w:t>
      </w:r>
      <w:r w:rsidR="00F67453">
        <w:rPr>
          <w:b/>
          <w:sz w:val="28"/>
          <w:szCs w:val="28"/>
        </w:rPr>
        <w:t>6 213,4</w:t>
      </w:r>
      <w:r w:rsidRPr="00D635D4">
        <w:rPr>
          <w:sz w:val="28"/>
          <w:szCs w:val="28"/>
        </w:rPr>
        <w:t xml:space="preserve"> млрд. рублей, в том числе:</w:t>
      </w:r>
    </w:p>
    <w:p w:rsidR="00F93595" w:rsidRPr="00A369E9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A369E9">
        <w:rPr>
          <w:sz w:val="28"/>
          <w:szCs w:val="28"/>
        </w:rPr>
        <w:t xml:space="preserve">1) администрация города Нижневартовска – </w:t>
      </w:r>
      <w:r w:rsidR="00A369E9" w:rsidRPr="00A369E9">
        <w:rPr>
          <w:sz w:val="28"/>
          <w:szCs w:val="28"/>
        </w:rPr>
        <w:t>925,5</w:t>
      </w:r>
      <w:r w:rsidRPr="00A369E9">
        <w:rPr>
          <w:sz w:val="28"/>
          <w:szCs w:val="28"/>
        </w:rPr>
        <w:t xml:space="preserve"> млн. руб. (</w:t>
      </w:r>
      <w:r w:rsidR="00650D8C" w:rsidRPr="00A369E9">
        <w:rPr>
          <w:sz w:val="28"/>
          <w:szCs w:val="28"/>
        </w:rPr>
        <w:t>14,</w:t>
      </w:r>
      <w:r w:rsidR="00F67453">
        <w:rPr>
          <w:sz w:val="28"/>
          <w:szCs w:val="28"/>
        </w:rPr>
        <w:t>9</w:t>
      </w:r>
      <w:r w:rsidRPr="00A369E9">
        <w:rPr>
          <w:sz w:val="28"/>
          <w:szCs w:val="28"/>
        </w:rPr>
        <w:t>%)</w:t>
      </w:r>
      <w:r w:rsidR="00A37539" w:rsidRPr="00A369E9">
        <w:rPr>
          <w:sz w:val="28"/>
          <w:szCs w:val="28"/>
        </w:rPr>
        <w:t xml:space="preserve">.  </w:t>
      </w:r>
      <w:r w:rsidRPr="00A369E9">
        <w:rPr>
          <w:sz w:val="28"/>
          <w:szCs w:val="28"/>
        </w:rPr>
        <w:t xml:space="preserve"> </w:t>
      </w:r>
    </w:p>
    <w:p w:rsidR="00A37539" w:rsidRPr="00A369E9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A369E9">
        <w:rPr>
          <w:sz w:val="28"/>
          <w:szCs w:val="28"/>
        </w:rPr>
        <w:t xml:space="preserve">2) департамент жилищно-коммунального хозяйства администрации        города Нижневартовска – </w:t>
      </w:r>
      <w:r w:rsidR="00A369E9" w:rsidRPr="00A369E9">
        <w:rPr>
          <w:sz w:val="28"/>
          <w:szCs w:val="28"/>
        </w:rPr>
        <w:t>732,3</w:t>
      </w:r>
      <w:r w:rsidRPr="00A369E9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11,8</w:t>
      </w:r>
      <w:r w:rsidRPr="00A369E9">
        <w:rPr>
          <w:sz w:val="28"/>
          <w:szCs w:val="28"/>
        </w:rPr>
        <w:t xml:space="preserve">%). </w:t>
      </w:r>
    </w:p>
    <w:p w:rsidR="00A37539" w:rsidRPr="00A369E9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A369E9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A369E9" w:rsidRPr="00A369E9">
        <w:rPr>
          <w:sz w:val="28"/>
          <w:szCs w:val="28"/>
        </w:rPr>
        <w:t>3,7</w:t>
      </w:r>
      <w:r w:rsidRPr="00A369E9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0,1</w:t>
      </w:r>
      <w:r w:rsidRPr="00A369E9">
        <w:rPr>
          <w:sz w:val="28"/>
          <w:szCs w:val="28"/>
        </w:rPr>
        <w:t xml:space="preserve">%). </w:t>
      </w:r>
    </w:p>
    <w:p w:rsidR="00A37539" w:rsidRPr="00A369E9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A369E9">
        <w:rPr>
          <w:sz w:val="28"/>
          <w:szCs w:val="28"/>
        </w:rPr>
        <w:t xml:space="preserve">4) департамент образования администрации города – </w:t>
      </w:r>
      <w:r w:rsidR="00FC4EF9" w:rsidRPr="00A369E9">
        <w:rPr>
          <w:sz w:val="28"/>
          <w:szCs w:val="28"/>
        </w:rPr>
        <w:t xml:space="preserve"> </w:t>
      </w:r>
      <w:r w:rsidR="00A369E9" w:rsidRPr="00A369E9">
        <w:rPr>
          <w:sz w:val="28"/>
          <w:szCs w:val="28"/>
        </w:rPr>
        <w:t>73,9</w:t>
      </w:r>
      <w:r w:rsidRPr="00A369E9">
        <w:rPr>
          <w:sz w:val="28"/>
          <w:szCs w:val="28"/>
        </w:rPr>
        <w:t xml:space="preserve"> млн. руб. (</w:t>
      </w:r>
      <w:r w:rsidR="00650D8C" w:rsidRPr="00A369E9">
        <w:rPr>
          <w:sz w:val="28"/>
          <w:szCs w:val="28"/>
        </w:rPr>
        <w:t>1,2</w:t>
      </w:r>
      <w:r w:rsidR="00A37539" w:rsidRPr="00A369E9">
        <w:rPr>
          <w:sz w:val="28"/>
          <w:szCs w:val="28"/>
        </w:rPr>
        <w:t>%).</w:t>
      </w:r>
    </w:p>
    <w:p w:rsidR="00A37539" w:rsidRPr="00E460E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E460EF">
        <w:rPr>
          <w:sz w:val="28"/>
          <w:szCs w:val="28"/>
        </w:rPr>
        <w:t>5</w:t>
      </w:r>
      <w:r w:rsidR="00F93595" w:rsidRPr="00E460EF">
        <w:rPr>
          <w:sz w:val="28"/>
          <w:szCs w:val="28"/>
        </w:rPr>
        <w:t xml:space="preserve">) учреждения образования </w:t>
      </w:r>
      <w:r w:rsidR="00980945" w:rsidRPr="00E460EF">
        <w:rPr>
          <w:sz w:val="28"/>
          <w:szCs w:val="28"/>
        </w:rPr>
        <w:t>(43 заказчика)</w:t>
      </w:r>
      <w:r w:rsidR="00C74A96" w:rsidRPr="00E460EF">
        <w:rPr>
          <w:sz w:val="28"/>
          <w:szCs w:val="28"/>
        </w:rPr>
        <w:t xml:space="preserve"> </w:t>
      </w:r>
      <w:r w:rsidR="00F93595" w:rsidRPr="00E460EF">
        <w:rPr>
          <w:sz w:val="28"/>
          <w:szCs w:val="28"/>
        </w:rPr>
        <w:t xml:space="preserve">– </w:t>
      </w:r>
      <w:r w:rsidR="00E460EF" w:rsidRPr="00E460EF">
        <w:rPr>
          <w:sz w:val="28"/>
          <w:szCs w:val="28"/>
        </w:rPr>
        <w:t>1 350,0</w:t>
      </w:r>
      <w:r w:rsidR="00F93595" w:rsidRPr="00E460EF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21,7</w:t>
      </w:r>
      <w:r w:rsidR="00F93595" w:rsidRPr="00E460EF">
        <w:rPr>
          <w:sz w:val="28"/>
          <w:szCs w:val="28"/>
        </w:rPr>
        <w:t xml:space="preserve">%). </w:t>
      </w:r>
    </w:p>
    <w:p w:rsidR="00A37539" w:rsidRPr="004C4ADA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4C4ADA">
        <w:rPr>
          <w:sz w:val="28"/>
          <w:szCs w:val="28"/>
        </w:rPr>
        <w:t>6</w:t>
      </w:r>
      <w:r w:rsidR="00F93595" w:rsidRPr="004C4ADA">
        <w:rPr>
          <w:sz w:val="28"/>
          <w:szCs w:val="28"/>
        </w:rPr>
        <w:t xml:space="preserve">) учреждения культуры </w:t>
      </w:r>
      <w:r w:rsidR="00980945" w:rsidRPr="004C4ADA">
        <w:rPr>
          <w:sz w:val="28"/>
          <w:szCs w:val="28"/>
        </w:rPr>
        <w:t xml:space="preserve">(5 заказчиков) </w:t>
      </w:r>
      <w:r w:rsidR="00F93595" w:rsidRPr="004C4ADA">
        <w:rPr>
          <w:sz w:val="28"/>
          <w:szCs w:val="28"/>
        </w:rPr>
        <w:t xml:space="preserve">– </w:t>
      </w:r>
      <w:r w:rsidR="004C4ADA" w:rsidRPr="004C4ADA">
        <w:rPr>
          <w:sz w:val="28"/>
          <w:szCs w:val="28"/>
        </w:rPr>
        <w:t>44,2</w:t>
      </w:r>
      <w:r w:rsidR="00F93595" w:rsidRPr="004C4ADA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0,7</w:t>
      </w:r>
      <w:r w:rsidR="00F93595" w:rsidRPr="004C4ADA">
        <w:rPr>
          <w:sz w:val="28"/>
          <w:szCs w:val="28"/>
        </w:rPr>
        <w:t xml:space="preserve">%). </w:t>
      </w:r>
    </w:p>
    <w:p w:rsidR="00A37539" w:rsidRPr="004C4ADA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4C4ADA">
        <w:rPr>
          <w:sz w:val="28"/>
          <w:szCs w:val="28"/>
        </w:rPr>
        <w:t>7</w:t>
      </w:r>
      <w:r w:rsidR="00F93595" w:rsidRPr="004C4ADA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 w:rsidR="004C4ADA" w:rsidRPr="004C4ADA">
        <w:rPr>
          <w:sz w:val="28"/>
          <w:szCs w:val="28"/>
        </w:rPr>
        <w:t>2 260,2</w:t>
      </w:r>
      <w:r w:rsidR="00F93595" w:rsidRPr="004C4ADA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36,4</w:t>
      </w:r>
      <w:r w:rsidR="0086169B" w:rsidRPr="004C4ADA">
        <w:rPr>
          <w:sz w:val="28"/>
          <w:szCs w:val="28"/>
        </w:rPr>
        <w:t xml:space="preserve">%). </w:t>
      </w:r>
    </w:p>
    <w:p w:rsidR="00A37539" w:rsidRPr="00E460E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E460EF">
        <w:rPr>
          <w:sz w:val="28"/>
          <w:szCs w:val="28"/>
        </w:rPr>
        <w:t>8</w:t>
      </w:r>
      <w:r w:rsidR="00F93595" w:rsidRPr="00E460EF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E460EF" w:rsidRPr="00E460EF">
        <w:rPr>
          <w:sz w:val="28"/>
          <w:szCs w:val="28"/>
        </w:rPr>
        <w:t>158,0</w:t>
      </w:r>
      <w:r w:rsidR="00F93595" w:rsidRPr="00E460EF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2,5</w:t>
      </w:r>
      <w:r w:rsidR="00F93595" w:rsidRPr="00E460EF">
        <w:rPr>
          <w:sz w:val="28"/>
          <w:szCs w:val="28"/>
        </w:rPr>
        <w:t xml:space="preserve">%). </w:t>
      </w:r>
    </w:p>
    <w:p w:rsidR="00A37539" w:rsidRPr="004C4ADA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4C4ADA">
        <w:rPr>
          <w:sz w:val="28"/>
          <w:szCs w:val="28"/>
        </w:rPr>
        <w:t>9</w:t>
      </w:r>
      <w:r w:rsidR="00F93595" w:rsidRPr="004C4ADA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4C4ADA">
        <w:rPr>
          <w:sz w:val="28"/>
          <w:szCs w:val="28"/>
        </w:rPr>
        <w:t>67,7</w:t>
      </w:r>
      <w:r w:rsidR="00F93595" w:rsidRPr="004C4ADA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1,1</w:t>
      </w:r>
      <w:r w:rsidR="00F93595" w:rsidRPr="004C4ADA">
        <w:rPr>
          <w:sz w:val="28"/>
          <w:szCs w:val="28"/>
        </w:rPr>
        <w:t xml:space="preserve">%). </w:t>
      </w:r>
    </w:p>
    <w:p w:rsidR="00F93595" w:rsidRPr="004C4ADA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4C4ADA">
        <w:rPr>
          <w:sz w:val="28"/>
          <w:szCs w:val="28"/>
        </w:rPr>
        <w:t>10</w:t>
      </w:r>
      <w:r w:rsidR="00F93595" w:rsidRPr="004C4ADA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4C4ADA">
        <w:rPr>
          <w:sz w:val="28"/>
          <w:szCs w:val="28"/>
        </w:rPr>
        <w:t xml:space="preserve"> </w:t>
      </w:r>
      <w:r w:rsidR="004C4ADA">
        <w:rPr>
          <w:sz w:val="28"/>
          <w:szCs w:val="28"/>
        </w:rPr>
        <w:t>564,8</w:t>
      </w:r>
      <w:r w:rsidR="00F93595" w:rsidRPr="004C4ADA">
        <w:rPr>
          <w:sz w:val="28"/>
          <w:szCs w:val="28"/>
        </w:rPr>
        <w:t xml:space="preserve"> млн. руб. (</w:t>
      </w:r>
      <w:r w:rsidR="00F67453">
        <w:rPr>
          <w:sz w:val="28"/>
          <w:szCs w:val="28"/>
        </w:rPr>
        <w:t>9,1</w:t>
      </w:r>
      <w:r w:rsidR="00F93595" w:rsidRPr="004C4ADA">
        <w:rPr>
          <w:sz w:val="28"/>
          <w:szCs w:val="28"/>
        </w:rPr>
        <w:t>%)</w:t>
      </w:r>
      <w:r w:rsidR="004259D9" w:rsidRPr="004C4ADA">
        <w:rPr>
          <w:sz w:val="28"/>
          <w:szCs w:val="28"/>
        </w:rPr>
        <w:t>.</w:t>
      </w:r>
      <w:r w:rsidR="00F93595" w:rsidRPr="004C4ADA">
        <w:rPr>
          <w:sz w:val="28"/>
          <w:szCs w:val="28"/>
        </w:rPr>
        <w:t xml:space="preserve">  </w:t>
      </w:r>
    </w:p>
    <w:p w:rsidR="00E92D84" w:rsidRPr="004C4ADA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 w:rsidRPr="004C4ADA">
        <w:rPr>
          <w:sz w:val="28"/>
          <w:szCs w:val="28"/>
        </w:rPr>
        <w:t>11</w:t>
      </w:r>
      <w:r w:rsidR="00E92D84" w:rsidRPr="004C4ADA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4C4ADA" w:rsidRPr="004C4ADA">
        <w:rPr>
          <w:sz w:val="28"/>
          <w:szCs w:val="28"/>
        </w:rPr>
        <w:t>10,6</w:t>
      </w:r>
      <w:r w:rsidR="00E92D84" w:rsidRPr="004C4ADA">
        <w:rPr>
          <w:sz w:val="28"/>
          <w:szCs w:val="28"/>
        </w:rPr>
        <w:t xml:space="preserve"> млн. руб.</w:t>
      </w:r>
      <w:r w:rsidR="006C5BF7" w:rsidRPr="004C4ADA">
        <w:rPr>
          <w:sz w:val="28"/>
          <w:szCs w:val="28"/>
        </w:rPr>
        <w:t xml:space="preserve"> (</w:t>
      </w:r>
      <w:r w:rsidR="00F67453">
        <w:rPr>
          <w:sz w:val="28"/>
          <w:szCs w:val="28"/>
        </w:rPr>
        <w:t>0,2</w:t>
      </w:r>
      <w:r w:rsidR="006C5BF7" w:rsidRPr="004C4ADA">
        <w:rPr>
          <w:sz w:val="28"/>
          <w:szCs w:val="28"/>
        </w:rPr>
        <w:t>%)</w:t>
      </w:r>
      <w:r w:rsidR="004259D9" w:rsidRPr="004C4ADA">
        <w:rPr>
          <w:sz w:val="28"/>
          <w:szCs w:val="28"/>
        </w:rPr>
        <w:t>.</w:t>
      </w:r>
      <w:r w:rsidR="00E92D84" w:rsidRPr="004C4ADA">
        <w:rPr>
          <w:sz w:val="28"/>
          <w:szCs w:val="28"/>
        </w:rPr>
        <w:t xml:space="preserve"> </w:t>
      </w:r>
    </w:p>
    <w:p w:rsidR="00F93595" w:rsidRPr="000B1DD0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E460EF">
        <w:rPr>
          <w:sz w:val="28"/>
          <w:szCs w:val="28"/>
        </w:rPr>
        <w:t>12</w:t>
      </w:r>
      <w:r w:rsidR="00F93595" w:rsidRPr="00E460EF">
        <w:rPr>
          <w:sz w:val="28"/>
          <w:szCs w:val="28"/>
        </w:rPr>
        <w:t xml:space="preserve">) муниципальное казенное учреждение "Нижневартовский кадастровый </w:t>
      </w:r>
      <w:r w:rsidR="00F93595" w:rsidRPr="000B1DD0">
        <w:rPr>
          <w:sz w:val="28"/>
          <w:szCs w:val="28"/>
        </w:rPr>
        <w:t xml:space="preserve">центр" – </w:t>
      </w:r>
      <w:r w:rsidR="00E460EF" w:rsidRPr="000B1DD0">
        <w:rPr>
          <w:sz w:val="28"/>
          <w:szCs w:val="28"/>
        </w:rPr>
        <w:t>5,9</w:t>
      </w:r>
      <w:r w:rsidR="00F93595" w:rsidRPr="000B1DD0">
        <w:rPr>
          <w:sz w:val="28"/>
          <w:szCs w:val="28"/>
        </w:rPr>
        <w:t xml:space="preserve"> млн. руб. (</w:t>
      </w:r>
      <w:r w:rsidR="00650D8C" w:rsidRPr="000B1DD0">
        <w:rPr>
          <w:sz w:val="28"/>
          <w:szCs w:val="28"/>
        </w:rPr>
        <w:t>0,1</w:t>
      </w:r>
      <w:r w:rsidR="00F93595" w:rsidRPr="000B1DD0">
        <w:rPr>
          <w:sz w:val="28"/>
          <w:szCs w:val="28"/>
        </w:rPr>
        <w:t xml:space="preserve">%). </w:t>
      </w:r>
    </w:p>
    <w:p w:rsidR="00A37539" w:rsidRPr="000B1DD0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13</w:t>
      </w:r>
      <w:r w:rsidR="00F93595" w:rsidRPr="000B1DD0">
        <w:rPr>
          <w:sz w:val="28"/>
          <w:szCs w:val="28"/>
        </w:rPr>
        <w:t xml:space="preserve">) Дума города Нижневартовска – </w:t>
      </w:r>
      <w:r w:rsidR="00E460EF" w:rsidRPr="000B1DD0">
        <w:rPr>
          <w:sz w:val="28"/>
          <w:szCs w:val="28"/>
        </w:rPr>
        <w:t>16,3</w:t>
      </w:r>
      <w:r w:rsidR="006C5BF7" w:rsidRPr="000B1DD0">
        <w:rPr>
          <w:sz w:val="28"/>
          <w:szCs w:val="28"/>
        </w:rPr>
        <w:t xml:space="preserve"> млн. руб. (</w:t>
      </w:r>
      <w:r w:rsidR="00650D8C" w:rsidRPr="000B1DD0">
        <w:rPr>
          <w:sz w:val="28"/>
          <w:szCs w:val="28"/>
        </w:rPr>
        <w:t>0,</w:t>
      </w:r>
      <w:r w:rsidR="00F67453" w:rsidRPr="000B1DD0">
        <w:rPr>
          <w:sz w:val="28"/>
          <w:szCs w:val="28"/>
        </w:rPr>
        <w:t>26</w:t>
      </w:r>
      <w:r w:rsidR="00F93595" w:rsidRPr="000B1DD0">
        <w:rPr>
          <w:sz w:val="28"/>
          <w:szCs w:val="28"/>
        </w:rPr>
        <w:t>%)</w:t>
      </w:r>
      <w:r w:rsidR="007C6BE9" w:rsidRPr="000B1DD0">
        <w:rPr>
          <w:sz w:val="28"/>
          <w:szCs w:val="28"/>
        </w:rPr>
        <w:t>.</w:t>
      </w:r>
      <w:r w:rsidR="00876AB5" w:rsidRPr="000B1DD0">
        <w:rPr>
          <w:sz w:val="28"/>
          <w:szCs w:val="28"/>
        </w:rPr>
        <w:t xml:space="preserve"> </w:t>
      </w:r>
    </w:p>
    <w:p w:rsidR="002103E2" w:rsidRPr="000B1DD0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noProof/>
          <w:sz w:val="28"/>
          <w:szCs w:val="28"/>
        </w:rPr>
        <w:t>14</w:t>
      </w:r>
      <w:r w:rsidR="002103E2" w:rsidRPr="000B1DD0">
        <w:rPr>
          <w:noProof/>
          <w:sz w:val="28"/>
          <w:szCs w:val="28"/>
        </w:rPr>
        <w:t xml:space="preserve">) </w:t>
      </w:r>
      <w:r w:rsidR="002103E2" w:rsidRPr="000B1DD0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E460EF" w:rsidRPr="000B1DD0">
        <w:rPr>
          <w:sz w:val="28"/>
          <w:szCs w:val="28"/>
        </w:rPr>
        <w:t>0,3</w:t>
      </w:r>
      <w:r w:rsidR="002103E2" w:rsidRPr="000B1DD0">
        <w:rPr>
          <w:sz w:val="28"/>
          <w:szCs w:val="28"/>
        </w:rPr>
        <w:t xml:space="preserve"> млн. руб. (</w:t>
      </w:r>
      <w:r w:rsidR="00650D8C" w:rsidRPr="000B1DD0">
        <w:rPr>
          <w:sz w:val="28"/>
          <w:szCs w:val="28"/>
        </w:rPr>
        <w:t>0,</w:t>
      </w:r>
      <w:r w:rsidR="00F67453" w:rsidRPr="000B1DD0">
        <w:rPr>
          <w:sz w:val="28"/>
          <w:szCs w:val="28"/>
        </w:rPr>
        <w:t>04</w:t>
      </w:r>
      <w:r w:rsidR="002103E2" w:rsidRPr="000B1DD0">
        <w:rPr>
          <w:sz w:val="28"/>
          <w:szCs w:val="28"/>
        </w:rPr>
        <w:t xml:space="preserve">%). </w:t>
      </w:r>
    </w:p>
    <w:p w:rsidR="00596CA2" w:rsidRPr="000B1DD0" w:rsidRDefault="00596CA2" w:rsidP="000D79AB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769C7" w:rsidRPr="000B1DD0" w:rsidRDefault="008769C7" w:rsidP="000D79AB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0B1DD0">
        <w:rPr>
          <w:sz w:val="28"/>
          <w:szCs w:val="28"/>
        </w:rPr>
        <w:t xml:space="preserve">                          </w:t>
      </w:r>
      <w:r w:rsidRPr="000B1DD0">
        <w:rPr>
          <w:sz w:val="28"/>
          <w:szCs w:val="28"/>
        </w:rPr>
        <w:t>в определяющей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степени зависят от процесс</w:t>
      </w:r>
      <w:r w:rsidR="000D79AB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планирования закупок,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и их исполнения.</w:t>
      </w:r>
    </w:p>
    <w:p w:rsidR="00F93595" w:rsidRPr="000B1DD0" w:rsidRDefault="000D79AB" w:rsidP="000D79AB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0B1DD0">
        <w:rPr>
          <w:sz w:val="28"/>
          <w:szCs w:val="28"/>
        </w:rPr>
        <w:t>Так ф</w:t>
      </w:r>
      <w:r w:rsidR="00F93595" w:rsidRPr="000B1DD0">
        <w:rPr>
          <w:sz w:val="28"/>
          <w:szCs w:val="28"/>
        </w:rPr>
        <w:t xml:space="preserve">актическое исполнение планов-графиков за </w:t>
      </w:r>
      <w:r w:rsidR="00BF11CB" w:rsidRPr="000B1DD0">
        <w:rPr>
          <w:sz w:val="28"/>
          <w:szCs w:val="28"/>
          <w:lang w:val="en-US"/>
        </w:rPr>
        <w:t>I</w:t>
      </w:r>
      <w:r w:rsidR="00BF11CB" w:rsidRPr="000B1DD0">
        <w:rPr>
          <w:sz w:val="28"/>
          <w:szCs w:val="28"/>
        </w:rPr>
        <w:t xml:space="preserve"> квартал </w:t>
      </w:r>
      <w:r w:rsidR="00F93595" w:rsidRPr="000B1DD0">
        <w:rPr>
          <w:sz w:val="28"/>
          <w:szCs w:val="28"/>
        </w:rPr>
        <w:t>20</w:t>
      </w:r>
      <w:r w:rsidR="0040623A" w:rsidRPr="000B1DD0">
        <w:rPr>
          <w:sz w:val="28"/>
          <w:szCs w:val="28"/>
        </w:rPr>
        <w:t>2</w:t>
      </w:r>
      <w:r w:rsidR="00BF11CB" w:rsidRPr="000B1DD0">
        <w:rPr>
          <w:sz w:val="28"/>
          <w:szCs w:val="28"/>
        </w:rPr>
        <w:t>2</w:t>
      </w:r>
      <w:r w:rsidR="00F93595" w:rsidRPr="000B1DD0">
        <w:rPr>
          <w:sz w:val="28"/>
          <w:szCs w:val="28"/>
        </w:rPr>
        <w:t xml:space="preserve"> год</w:t>
      </w:r>
      <w:r w:rsidR="00BF11CB" w:rsidRPr="000B1DD0">
        <w:rPr>
          <w:sz w:val="28"/>
          <w:szCs w:val="28"/>
        </w:rPr>
        <w:t>а</w:t>
      </w:r>
      <w:r w:rsidR="00F93595" w:rsidRPr="000B1DD0">
        <w:rPr>
          <w:sz w:val="28"/>
          <w:szCs w:val="28"/>
        </w:rPr>
        <w:t xml:space="preserve"> составило </w:t>
      </w:r>
      <w:r w:rsidR="003C00E5" w:rsidRPr="000B1DD0">
        <w:rPr>
          <w:b/>
          <w:bCs/>
          <w:sz w:val="28"/>
          <w:szCs w:val="28"/>
        </w:rPr>
        <w:t>1 731,8</w:t>
      </w:r>
      <w:r w:rsidR="00F93595" w:rsidRPr="000B1DD0">
        <w:rPr>
          <w:b/>
          <w:bCs/>
          <w:sz w:val="28"/>
          <w:szCs w:val="28"/>
        </w:rPr>
        <w:t xml:space="preserve"> </w:t>
      </w:r>
      <w:r w:rsidR="00F93595" w:rsidRPr="000B1DD0">
        <w:rPr>
          <w:sz w:val="28"/>
          <w:szCs w:val="28"/>
        </w:rPr>
        <w:t xml:space="preserve">млн. руб. или </w:t>
      </w:r>
      <w:r w:rsidR="003C00E5" w:rsidRPr="000B1DD0">
        <w:rPr>
          <w:sz w:val="28"/>
          <w:szCs w:val="28"/>
        </w:rPr>
        <w:t>28</w:t>
      </w:r>
      <w:r w:rsidR="00F93595" w:rsidRPr="000B1DD0">
        <w:rPr>
          <w:sz w:val="28"/>
          <w:szCs w:val="28"/>
        </w:rPr>
        <w:t>% от запланированного объема закупок</w:t>
      </w:r>
      <w:r w:rsidR="00F93595" w:rsidRPr="000B1DD0">
        <w:rPr>
          <w:i/>
          <w:sz w:val="28"/>
          <w:szCs w:val="28"/>
        </w:rPr>
        <w:t>.</w:t>
      </w:r>
    </w:p>
    <w:p w:rsidR="003455BC" w:rsidRPr="000B1DD0" w:rsidRDefault="003455BC" w:rsidP="00777D86">
      <w:pPr>
        <w:pStyle w:val="a3"/>
        <w:widowControl w:val="0"/>
        <w:rPr>
          <w:szCs w:val="28"/>
        </w:rPr>
      </w:pPr>
    </w:p>
    <w:p w:rsidR="00DD5C4E" w:rsidRPr="000B1DD0" w:rsidRDefault="00A37539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остается открытый аукцион в электронной форме. На электронные аукционы приходится </w:t>
      </w:r>
      <w:r w:rsidR="00222596" w:rsidRPr="000B1DD0">
        <w:rPr>
          <w:rFonts w:eastAsia="Calibri"/>
          <w:sz w:val="28"/>
          <w:szCs w:val="28"/>
          <w:lang w:eastAsia="en-US"/>
        </w:rPr>
        <w:t>56</w:t>
      </w:r>
      <w:r w:rsidR="00DD5C4E" w:rsidRPr="000B1DD0">
        <w:rPr>
          <w:rFonts w:eastAsia="Calibri"/>
          <w:sz w:val="28"/>
          <w:szCs w:val="28"/>
          <w:lang w:eastAsia="en-US"/>
        </w:rPr>
        <w:t>%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от общей суммы размещенных закупок. 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в отчетном периоде направлено </w:t>
      </w:r>
      <w:r w:rsidR="00D671FC" w:rsidRPr="000B1DD0">
        <w:rPr>
          <w:sz w:val="28"/>
          <w:szCs w:val="28"/>
        </w:rPr>
        <w:t xml:space="preserve">                   </w:t>
      </w:r>
      <w:r w:rsidR="00BF11CB" w:rsidRPr="000B1DD0">
        <w:rPr>
          <w:sz w:val="28"/>
          <w:szCs w:val="28"/>
        </w:rPr>
        <w:lastRenderedPageBreak/>
        <w:t>419,6</w:t>
      </w:r>
      <w:r w:rsidRPr="000B1DD0">
        <w:rPr>
          <w:sz w:val="28"/>
          <w:szCs w:val="28"/>
        </w:rPr>
        <w:t xml:space="preserve"> млн. рублей или</w:t>
      </w:r>
      <w:r w:rsidR="00967242" w:rsidRPr="000B1DD0">
        <w:rPr>
          <w:sz w:val="28"/>
          <w:szCs w:val="28"/>
        </w:rPr>
        <w:t xml:space="preserve"> </w:t>
      </w:r>
      <w:r w:rsidR="00BF11CB" w:rsidRPr="000B1DD0">
        <w:rPr>
          <w:sz w:val="28"/>
          <w:szCs w:val="28"/>
        </w:rPr>
        <w:t>24</w:t>
      </w:r>
      <w:r w:rsidRPr="000B1DD0">
        <w:rPr>
          <w:sz w:val="28"/>
          <w:szCs w:val="28"/>
        </w:rPr>
        <w:t>% от суммы всех закупок.</w:t>
      </w:r>
    </w:p>
    <w:p w:rsidR="00E4732D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Среди закупок у единственного поставщика, основная доля приходится </w:t>
      </w:r>
      <w:r w:rsidR="001732F8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на закупки малого объема – </w:t>
      </w:r>
      <w:r w:rsidR="00BF11CB" w:rsidRPr="000B1DD0">
        <w:rPr>
          <w:sz w:val="28"/>
          <w:szCs w:val="28"/>
        </w:rPr>
        <w:t>53</w:t>
      </w:r>
      <w:r w:rsidRPr="000B1DD0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 – </w:t>
      </w:r>
      <w:r w:rsidR="00440799" w:rsidRPr="000B1DD0">
        <w:rPr>
          <w:sz w:val="28"/>
          <w:szCs w:val="28"/>
        </w:rPr>
        <w:t>46</w:t>
      </w:r>
      <w:r w:rsidRPr="000B1DD0">
        <w:rPr>
          <w:sz w:val="28"/>
          <w:szCs w:val="28"/>
        </w:rPr>
        <w:t xml:space="preserve">%, на остальные закупки приходится </w:t>
      </w:r>
      <w:r w:rsidR="00BF11CB" w:rsidRPr="000B1DD0">
        <w:rPr>
          <w:sz w:val="28"/>
          <w:szCs w:val="28"/>
        </w:rPr>
        <w:t>менее 1</w:t>
      </w:r>
      <w:r w:rsidRPr="000B1DD0">
        <w:rPr>
          <w:sz w:val="28"/>
          <w:szCs w:val="28"/>
        </w:rPr>
        <w:t>%.</w:t>
      </w:r>
    </w:p>
    <w:p w:rsidR="003C00E5" w:rsidRPr="000B1DD0" w:rsidRDefault="003C00E5" w:rsidP="00A77C1B">
      <w:pPr>
        <w:widowControl w:val="0"/>
        <w:ind w:firstLine="709"/>
        <w:jc w:val="center"/>
        <w:rPr>
          <w:sz w:val="28"/>
          <w:szCs w:val="28"/>
        </w:rPr>
      </w:pPr>
    </w:p>
    <w:p w:rsidR="001732F8" w:rsidRPr="000B1DD0" w:rsidRDefault="00A77C1B" w:rsidP="00A77C1B">
      <w:pPr>
        <w:widowControl w:val="0"/>
        <w:ind w:firstLine="709"/>
        <w:jc w:val="center"/>
        <w:rPr>
          <w:sz w:val="28"/>
          <w:szCs w:val="28"/>
        </w:rPr>
      </w:pPr>
      <w:r w:rsidRPr="000B1DD0">
        <w:rPr>
          <w:sz w:val="28"/>
          <w:szCs w:val="28"/>
        </w:rPr>
        <w:t>Структура закупок по способу определения поставщика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1550"/>
        <w:gridCol w:w="1656"/>
        <w:gridCol w:w="2158"/>
      </w:tblGrid>
      <w:tr w:rsidR="00357BC7" w:rsidRPr="000B1DD0" w:rsidTr="003C00E5">
        <w:trPr>
          <w:trHeight w:val="850"/>
          <w:jc w:val="center"/>
        </w:trPr>
        <w:tc>
          <w:tcPr>
            <w:tcW w:w="4390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Способ определения </w:t>
            </w:r>
          </w:p>
          <w:p w:rsidR="00577DC3" w:rsidRPr="000B1DD0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поставщика (подрядчика, </w:t>
            </w:r>
            <w:r w:rsidR="003C00E5" w:rsidRPr="000B1DD0">
              <w:rPr>
                <w:b/>
              </w:rPr>
              <w:t>и</w:t>
            </w:r>
            <w:r w:rsidRPr="000B1DD0">
              <w:rPr>
                <w:b/>
              </w:rPr>
              <w:t>сполнителя)</w:t>
            </w:r>
          </w:p>
        </w:tc>
        <w:tc>
          <w:tcPr>
            <w:tcW w:w="1275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Количество </w:t>
            </w:r>
          </w:p>
          <w:p w:rsidR="00577DC3" w:rsidRPr="000B1DD0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контрактов</w:t>
            </w:r>
            <w:r w:rsidR="00577DC3" w:rsidRPr="000B1DD0">
              <w:rPr>
                <w:b/>
              </w:rPr>
              <w:t>, шт.</w:t>
            </w:r>
          </w:p>
        </w:tc>
        <w:tc>
          <w:tcPr>
            <w:tcW w:w="1701" w:type="dxa"/>
            <w:vAlign w:val="center"/>
          </w:tcPr>
          <w:p w:rsidR="00577DC3" w:rsidRPr="000B1DD0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Объем закупок, млн. руб.</w:t>
            </w:r>
          </w:p>
        </w:tc>
        <w:tc>
          <w:tcPr>
            <w:tcW w:w="2192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Доля </w:t>
            </w:r>
          </w:p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от размещенного объема закупок</w:t>
            </w:r>
          </w:p>
        </w:tc>
      </w:tr>
      <w:tr w:rsidR="00357BC7" w:rsidRPr="000B1DD0" w:rsidTr="003C00E5">
        <w:trPr>
          <w:trHeight w:val="46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Открытый конкурс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440799" w:rsidP="00440799">
            <w:pPr>
              <w:widowControl w:val="0"/>
              <w:jc w:val="center"/>
            </w:pPr>
            <w:r w:rsidRPr="000B1DD0">
              <w:t>338,6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440799" w:rsidP="0030230C">
            <w:pPr>
              <w:jc w:val="center"/>
            </w:pPr>
            <w:r w:rsidRPr="000B1DD0">
              <w:t>20%</w:t>
            </w:r>
          </w:p>
        </w:tc>
      </w:tr>
      <w:tr w:rsidR="00357BC7" w:rsidRPr="000B1DD0" w:rsidTr="003C00E5">
        <w:trPr>
          <w:trHeight w:val="41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 xml:space="preserve">Открытый аукцион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963,4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440799" w:rsidP="0030230C">
            <w:pPr>
              <w:jc w:val="center"/>
            </w:pPr>
            <w:r w:rsidRPr="000B1DD0">
              <w:t>56%</w:t>
            </w:r>
          </w:p>
        </w:tc>
      </w:tr>
      <w:tr w:rsidR="00357BC7" w:rsidRPr="000B1DD0" w:rsidTr="003C00E5">
        <w:trPr>
          <w:trHeight w:val="40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440799" w:rsidP="00B96FC8">
            <w:pPr>
              <w:widowControl w:val="0"/>
              <w:jc w:val="center"/>
            </w:pPr>
            <w:r w:rsidRPr="000B1DD0"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10,2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440799" w:rsidP="0030230C">
            <w:pPr>
              <w:jc w:val="center"/>
            </w:pPr>
            <w:r w:rsidRPr="000B1DD0">
              <w:t>1%</w:t>
            </w:r>
          </w:p>
        </w:tc>
      </w:tr>
      <w:tr w:rsidR="00357BC7" w:rsidRPr="000B1DD0" w:rsidTr="003C00E5">
        <w:trPr>
          <w:trHeight w:val="556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Итого конкурентными </w:t>
            </w:r>
          </w:p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способами </w:t>
            </w:r>
          </w:p>
        </w:tc>
        <w:tc>
          <w:tcPr>
            <w:tcW w:w="1275" w:type="dxa"/>
            <w:vAlign w:val="center"/>
          </w:tcPr>
          <w:p w:rsidR="00DD5C4E" w:rsidRPr="000B1DD0" w:rsidRDefault="00440799" w:rsidP="00DD5C4E">
            <w:pPr>
              <w:widowControl w:val="0"/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142</w:t>
            </w:r>
          </w:p>
        </w:tc>
        <w:tc>
          <w:tcPr>
            <w:tcW w:w="1701" w:type="dxa"/>
            <w:vAlign w:val="center"/>
          </w:tcPr>
          <w:p w:rsidR="00DD5C4E" w:rsidRPr="000B1DD0" w:rsidRDefault="00440799" w:rsidP="00440799">
            <w:pPr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1 312,2</w:t>
            </w:r>
          </w:p>
        </w:tc>
        <w:tc>
          <w:tcPr>
            <w:tcW w:w="2192" w:type="dxa"/>
            <w:vAlign w:val="center"/>
          </w:tcPr>
          <w:p w:rsidR="00DD5C4E" w:rsidRPr="000B1DD0" w:rsidRDefault="00440799" w:rsidP="0030230C">
            <w:pPr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77</w:t>
            </w:r>
            <w:r w:rsidR="0030230C" w:rsidRPr="000B1DD0">
              <w:rPr>
                <w:b/>
                <w:bCs/>
              </w:rPr>
              <w:t>%</w:t>
            </w:r>
          </w:p>
        </w:tc>
      </w:tr>
      <w:tr w:rsidR="00357BC7" w:rsidRPr="000B1DD0" w:rsidTr="003C00E5">
        <w:trPr>
          <w:trHeight w:val="143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 xml:space="preserve">Единственный поставщик </w:t>
            </w:r>
          </w:p>
          <w:p w:rsidR="00DD5C4E" w:rsidRPr="000B1DD0" w:rsidRDefault="00DD5C4E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(за исключением п. 4, 5</w:t>
            </w:r>
            <w:r w:rsidR="00EB0D67" w:rsidRPr="000B1DD0">
              <w:t>, 25</w:t>
            </w:r>
            <w:r w:rsidRPr="000B1DD0">
              <w:t xml:space="preserve"> ч.1 ст. 93 Закона о контрактной системе)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0B1DD0" w:rsidRDefault="00440799" w:rsidP="00F92DF8">
            <w:pPr>
              <w:widowControl w:val="0"/>
              <w:jc w:val="center"/>
            </w:pPr>
            <w:r w:rsidRPr="000B1DD0">
              <w:t>197,5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11%</w:t>
            </w:r>
          </w:p>
        </w:tc>
      </w:tr>
      <w:tr w:rsidR="00357BC7" w:rsidRPr="000B1DD0" w:rsidTr="003C00E5">
        <w:trPr>
          <w:trHeight w:val="410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Закупки малого объема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2 221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0B1DD0" w:rsidRDefault="00440799" w:rsidP="00DD5C4E">
            <w:pPr>
              <w:widowControl w:val="0"/>
              <w:jc w:val="center"/>
            </w:pPr>
            <w:r w:rsidRPr="000B1DD0">
              <w:t>222,1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0B1DD0" w:rsidRDefault="00440799" w:rsidP="00F92DF8">
            <w:pPr>
              <w:widowControl w:val="0"/>
              <w:jc w:val="center"/>
            </w:pPr>
            <w:r w:rsidRPr="000B1DD0">
              <w:t>13%</w:t>
            </w:r>
          </w:p>
        </w:tc>
      </w:tr>
      <w:tr w:rsidR="00357BC7" w:rsidRPr="000B1DD0" w:rsidTr="003C00E5">
        <w:trPr>
          <w:trHeight w:val="559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ИТОГО по всем закупкам</w:t>
            </w:r>
          </w:p>
        </w:tc>
        <w:tc>
          <w:tcPr>
            <w:tcW w:w="1275" w:type="dxa"/>
            <w:vAlign w:val="center"/>
          </w:tcPr>
          <w:p w:rsidR="00DD5C4E" w:rsidRPr="000B1DD0" w:rsidRDefault="00440799" w:rsidP="00DD5C4E">
            <w:pPr>
              <w:widowControl w:val="0"/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2 518</w:t>
            </w:r>
          </w:p>
        </w:tc>
        <w:tc>
          <w:tcPr>
            <w:tcW w:w="1701" w:type="dxa"/>
            <w:vAlign w:val="center"/>
          </w:tcPr>
          <w:p w:rsidR="00DD5C4E" w:rsidRPr="000B1DD0" w:rsidRDefault="00440799" w:rsidP="00DD5C4E">
            <w:pPr>
              <w:widowControl w:val="0"/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1 731,8</w:t>
            </w:r>
          </w:p>
        </w:tc>
        <w:tc>
          <w:tcPr>
            <w:tcW w:w="2192" w:type="dxa"/>
            <w:vAlign w:val="center"/>
          </w:tcPr>
          <w:p w:rsidR="00DD5C4E" w:rsidRPr="000B1DD0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100%</w:t>
            </w:r>
          </w:p>
        </w:tc>
      </w:tr>
    </w:tbl>
    <w:p w:rsidR="00A77C1B" w:rsidRPr="000B1DD0" w:rsidRDefault="00A77C1B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B55EB0" w:rsidRPr="000B1DD0" w:rsidRDefault="00B55EB0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Около</w:t>
      </w:r>
      <w:r w:rsidR="00D87B41" w:rsidRPr="000B1DD0">
        <w:rPr>
          <w:sz w:val="28"/>
          <w:szCs w:val="28"/>
        </w:rPr>
        <w:t xml:space="preserve"> 9</w:t>
      </w:r>
      <w:r w:rsidRPr="000B1DD0">
        <w:rPr>
          <w:sz w:val="28"/>
          <w:szCs w:val="28"/>
        </w:rPr>
        <w:t>6</w:t>
      </w:r>
      <w:r w:rsidR="00D87B41" w:rsidRPr="000B1DD0">
        <w:rPr>
          <w:sz w:val="28"/>
          <w:szCs w:val="28"/>
        </w:rPr>
        <w:t xml:space="preserve">% стоимостного объема </w:t>
      </w:r>
      <w:r w:rsidRPr="000B1DD0">
        <w:rPr>
          <w:sz w:val="28"/>
          <w:szCs w:val="28"/>
        </w:rPr>
        <w:t>закупок приходится на строительство объектов благоустройства гор</w:t>
      </w:r>
      <w:r w:rsidR="00262AD0" w:rsidRPr="000B1DD0">
        <w:rPr>
          <w:sz w:val="28"/>
          <w:szCs w:val="28"/>
        </w:rPr>
        <w:t>ода, ремонт автомобильных дорог</w:t>
      </w:r>
      <w:r w:rsidRPr="000B1DD0">
        <w:rPr>
          <w:sz w:val="28"/>
          <w:szCs w:val="28"/>
        </w:rPr>
        <w:t xml:space="preserve">.  </w:t>
      </w:r>
    </w:p>
    <w:p w:rsidR="003C00E5" w:rsidRPr="000B1DD0" w:rsidRDefault="00B55EB0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На </w:t>
      </w:r>
      <w:r w:rsidR="00D87B41" w:rsidRPr="000B1DD0">
        <w:rPr>
          <w:sz w:val="28"/>
          <w:szCs w:val="28"/>
        </w:rPr>
        <w:t xml:space="preserve">коммунальные услуги, поставку продуктов питания и организации питания образовательных учреждений, приобретение компьютерной техники, </w:t>
      </w:r>
      <w:r w:rsidR="009B4A21" w:rsidRPr="000B1DD0">
        <w:rPr>
          <w:sz w:val="28"/>
          <w:szCs w:val="28"/>
        </w:rPr>
        <w:t xml:space="preserve">бумаги, </w:t>
      </w:r>
      <w:r w:rsidR="00D87B41" w:rsidRPr="000B1DD0">
        <w:rPr>
          <w:sz w:val="28"/>
          <w:szCs w:val="28"/>
        </w:rPr>
        <w:t>усл</w:t>
      </w:r>
      <w:r w:rsidR="009B4A21" w:rsidRPr="000B1DD0">
        <w:rPr>
          <w:sz w:val="28"/>
          <w:szCs w:val="28"/>
        </w:rPr>
        <w:t>уг в области информации и связи</w:t>
      </w:r>
      <w:r w:rsidRPr="000B1DD0">
        <w:rPr>
          <w:sz w:val="28"/>
          <w:szCs w:val="28"/>
        </w:rPr>
        <w:t xml:space="preserve"> приходится 3%</w:t>
      </w:r>
      <w:r w:rsidR="00D87B41" w:rsidRPr="000B1DD0">
        <w:rPr>
          <w:sz w:val="28"/>
          <w:szCs w:val="28"/>
        </w:rPr>
        <w:t>. Закупки иных товаров, работ, услуг по стоимостному объему не превышают 1%.</w:t>
      </w:r>
    </w:p>
    <w:p w:rsidR="00B55EB0" w:rsidRPr="000B1DD0" w:rsidRDefault="00B55EB0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582" w:rsidRPr="000B1DD0" w:rsidRDefault="008A40DE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sz w:val="28"/>
          <w:szCs w:val="28"/>
        </w:rPr>
        <w:t>В соответствии с дейст</w:t>
      </w:r>
      <w:r w:rsidR="00D51621" w:rsidRPr="000B1DD0">
        <w:rPr>
          <w:sz w:val="28"/>
          <w:szCs w:val="28"/>
        </w:rPr>
        <w:t>вующим законодательством, одним</w:t>
      </w:r>
      <w:r w:rsidRPr="000B1DD0">
        <w:rPr>
          <w:sz w:val="28"/>
          <w:szCs w:val="28"/>
        </w:rPr>
        <w:t xml:space="preserve"> из важнейших принципов</w:t>
      </w:r>
      <w:r w:rsidR="00B6538D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контрактной системы являются обеспечение ко</w:t>
      </w:r>
      <w:r w:rsidR="00B6538D" w:rsidRPr="000B1DD0">
        <w:rPr>
          <w:sz w:val="28"/>
          <w:szCs w:val="28"/>
        </w:rPr>
        <w:t>нкуренции осуществления закупок. В</w:t>
      </w:r>
      <w:r w:rsidRPr="000B1DD0">
        <w:rPr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0B1DD0">
        <w:rPr>
          <w:sz w:val="28"/>
          <w:szCs w:val="28"/>
        </w:rPr>
        <w:t xml:space="preserve"> Так, д</w:t>
      </w:r>
      <w:r w:rsidR="00D248CF" w:rsidRPr="000B1DD0">
        <w:rPr>
          <w:rFonts w:eastAsia="Calibri"/>
          <w:sz w:val="28"/>
          <w:szCs w:val="28"/>
          <w:lang w:eastAsia="en-US"/>
        </w:rPr>
        <w:t>ля</w:t>
      </w:r>
      <w:r w:rsidR="00890E66" w:rsidRPr="000B1DD0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в</w:t>
      </w:r>
      <w:r w:rsidR="00AA250A" w:rsidRPr="000B1DD0">
        <w:rPr>
          <w:rFonts w:eastAsia="Calibri"/>
          <w:sz w:val="28"/>
          <w:szCs w:val="28"/>
          <w:lang w:eastAsia="en-US"/>
        </w:rPr>
        <w:t xml:space="preserve"> </w:t>
      </w:r>
      <w:r w:rsidR="00222596" w:rsidRPr="000B1DD0">
        <w:rPr>
          <w:rFonts w:eastAsia="Calibri"/>
          <w:sz w:val="28"/>
          <w:szCs w:val="28"/>
          <w:lang w:val="en-US" w:eastAsia="en-US"/>
        </w:rPr>
        <w:t>I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квартале </w:t>
      </w:r>
      <w:r w:rsidR="00292CF0" w:rsidRPr="000B1DD0">
        <w:rPr>
          <w:rFonts w:eastAsia="Calibri"/>
          <w:sz w:val="28"/>
          <w:szCs w:val="28"/>
          <w:lang w:eastAsia="en-US"/>
        </w:rPr>
        <w:t>202</w:t>
      </w:r>
      <w:r w:rsidR="00222596" w:rsidRPr="000B1DD0">
        <w:rPr>
          <w:rFonts w:eastAsia="Calibri"/>
          <w:sz w:val="28"/>
          <w:szCs w:val="28"/>
          <w:lang w:eastAsia="en-US"/>
        </w:rPr>
        <w:t>2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год</w:t>
      </w:r>
      <w:r w:rsidR="00222596" w:rsidRPr="000B1DD0">
        <w:rPr>
          <w:rFonts w:eastAsia="Calibri"/>
          <w:sz w:val="28"/>
          <w:szCs w:val="28"/>
          <w:lang w:eastAsia="en-US"/>
        </w:rPr>
        <w:t>а</w:t>
      </w:r>
      <w:r w:rsidR="00890E66" w:rsidRPr="000B1DD0">
        <w:rPr>
          <w:rFonts w:eastAsia="Calibri"/>
          <w:sz w:val="28"/>
          <w:szCs w:val="28"/>
          <w:lang w:eastAsia="en-US"/>
        </w:rPr>
        <w:t>, было подано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</w:t>
      </w:r>
      <w:r w:rsidR="00222596" w:rsidRPr="000B1DD0">
        <w:rPr>
          <w:rFonts w:eastAsia="Calibri"/>
          <w:sz w:val="28"/>
          <w:szCs w:val="28"/>
          <w:lang w:eastAsia="en-US"/>
        </w:rPr>
        <w:t>388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заяв</w:t>
      </w:r>
      <w:r w:rsidR="003C5E64" w:rsidRPr="000B1DD0">
        <w:rPr>
          <w:rFonts w:eastAsia="Calibri"/>
          <w:sz w:val="28"/>
          <w:szCs w:val="28"/>
          <w:lang w:eastAsia="en-US"/>
        </w:rPr>
        <w:t>ок.</w:t>
      </w:r>
    </w:p>
    <w:p w:rsidR="00B35F50" w:rsidRDefault="00B35F50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491B" w:rsidRPr="000B1DD0" w:rsidRDefault="00AD491B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0B1DD0">
        <w:rPr>
          <w:rFonts w:eastAsia="Calibri"/>
          <w:sz w:val="28"/>
          <w:szCs w:val="28"/>
          <w:lang w:eastAsia="en-US"/>
        </w:rPr>
        <w:t>участников</w:t>
      </w:r>
      <w:r w:rsidRPr="000B1DD0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0B1DD0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A59A7" w:rsidRPr="000B1DD0">
        <w:rPr>
          <w:rFonts w:eastAsia="Calibri"/>
          <w:sz w:val="28"/>
          <w:szCs w:val="28"/>
          <w:lang w:eastAsia="en-US"/>
        </w:rPr>
        <w:t>3</w:t>
      </w:r>
      <w:r w:rsidR="009A3BC1" w:rsidRPr="000B1DD0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0B1DD0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0B1DD0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0B1DD0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940CD" w:rsidRPr="000B1DD0" w:rsidRDefault="00D940CD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Pr="000B1DD0" w:rsidRDefault="005A59A7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В </w:t>
      </w:r>
      <w:r w:rsidR="00E57B89" w:rsidRPr="000B1DD0">
        <w:rPr>
          <w:rFonts w:eastAsia="Calibri"/>
          <w:sz w:val="28"/>
          <w:szCs w:val="28"/>
          <w:lang w:val="en-US" w:eastAsia="en-US"/>
        </w:rPr>
        <w:t>I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 квартале </w:t>
      </w:r>
      <w:r w:rsidRPr="000B1DD0">
        <w:rPr>
          <w:rFonts w:eastAsia="Calibri"/>
          <w:sz w:val="28"/>
          <w:szCs w:val="28"/>
          <w:lang w:eastAsia="en-US"/>
        </w:rPr>
        <w:t>202</w:t>
      </w:r>
      <w:r w:rsidR="00E57B89" w:rsidRPr="000B1DD0">
        <w:rPr>
          <w:rFonts w:eastAsia="Calibri"/>
          <w:sz w:val="28"/>
          <w:szCs w:val="28"/>
          <w:lang w:eastAsia="en-US"/>
        </w:rPr>
        <w:t>2</w:t>
      </w:r>
      <w:r w:rsidRPr="000B1DD0">
        <w:rPr>
          <w:rFonts w:eastAsia="Calibri"/>
          <w:sz w:val="28"/>
          <w:szCs w:val="28"/>
          <w:lang w:eastAsia="en-US"/>
        </w:rPr>
        <w:t xml:space="preserve"> год</w:t>
      </w:r>
      <w:r w:rsidR="00E57B89" w:rsidRPr="000B1DD0">
        <w:rPr>
          <w:rFonts w:eastAsia="Calibri"/>
          <w:sz w:val="28"/>
          <w:szCs w:val="28"/>
          <w:lang w:eastAsia="en-US"/>
        </w:rPr>
        <w:t>а</w:t>
      </w:r>
      <w:r w:rsidRPr="000B1DD0">
        <w:rPr>
          <w:rFonts w:eastAsia="Calibri"/>
          <w:sz w:val="28"/>
          <w:szCs w:val="28"/>
          <w:lang w:eastAsia="en-US"/>
        </w:rPr>
        <w:t xml:space="preserve"> продолжена практика 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проведения совместных закупок, </w:t>
      </w:r>
      <w:r w:rsidRPr="000B1DD0">
        <w:rPr>
          <w:rFonts w:eastAsia="Calibri"/>
          <w:sz w:val="28"/>
          <w:szCs w:val="28"/>
          <w:lang w:eastAsia="en-US"/>
        </w:rPr>
        <w:t xml:space="preserve">по итогам </w:t>
      </w:r>
      <w:r w:rsidR="00E57B89" w:rsidRPr="000B1DD0">
        <w:rPr>
          <w:rFonts w:eastAsia="Calibri"/>
          <w:sz w:val="28"/>
          <w:szCs w:val="28"/>
          <w:lang w:eastAsia="en-US"/>
        </w:rPr>
        <w:t>11</w:t>
      </w:r>
      <w:r w:rsidRPr="000B1DD0">
        <w:rPr>
          <w:rFonts w:eastAsia="Calibri"/>
          <w:sz w:val="28"/>
          <w:szCs w:val="28"/>
          <w:lang w:eastAsia="en-US"/>
        </w:rPr>
        <w:t xml:space="preserve"> совместн</w:t>
      </w:r>
      <w:r w:rsidR="00E57B89" w:rsidRPr="000B1DD0">
        <w:rPr>
          <w:rFonts w:eastAsia="Calibri"/>
          <w:sz w:val="28"/>
          <w:szCs w:val="28"/>
          <w:lang w:eastAsia="en-US"/>
        </w:rPr>
        <w:t>ых</w:t>
      </w:r>
      <w:r w:rsidRPr="000B1DD0">
        <w:rPr>
          <w:rFonts w:eastAsia="Calibri"/>
          <w:sz w:val="28"/>
          <w:szCs w:val="28"/>
          <w:lang w:eastAsia="en-US"/>
        </w:rPr>
        <w:t xml:space="preserve"> аукцион</w:t>
      </w:r>
      <w:r w:rsidR="00E57B89" w:rsidRPr="000B1DD0">
        <w:rPr>
          <w:rFonts w:eastAsia="Calibri"/>
          <w:sz w:val="28"/>
          <w:szCs w:val="28"/>
          <w:lang w:eastAsia="en-US"/>
        </w:rPr>
        <w:t>ов</w:t>
      </w:r>
      <w:r w:rsidRPr="000B1DD0">
        <w:rPr>
          <w:rFonts w:eastAsia="Calibri"/>
          <w:sz w:val="28"/>
          <w:szCs w:val="28"/>
          <w:lang w:eastAsia="en-US"/>
        </w:rPr>
        <w:t xml:space="preserve"> заключено </w:t>
      </w:r>
      <w:r w:rsidR="00E57B89" w:rsidRPr="000B1DD0">
        <w:rPr>
          <w:rFonts w:eastAsia="Calibri"/>
          <w:sz w:val="28"/>
          <w:szCs w:val="28"/>
          <w:lang w:eastAsia="en-US"/>
        </w:rPr>
        <w:t>89</w:t>
      </w:r>
      <w:r w:rsidRPr="000B1DD0">
        <w:rPr>
          <w:rFonts w:eastAsia="Calibri"/>
          <w:sz w:val="28"/>
          <w:szCs w:val="28"/>
          <w:lang w:eastAsia="en-US"/>
        </w:rPr>
        <w:t xml:space="preserve"> контракт</w:t>
      </w:r>
      <w:r w:rsidR="00E57B89" w:rsidRPr="000B1DD0">
        <w:rPr>
          <w:rFonts w:eastAsia="Calibri"/>
          <w:sz w:val="28"/>
          <w:szCs w:val="28"/>
          <w:lang w:eastAsia="en-US"/>
        </w:rPr>
        <w:t>ов</w:t>
      </w:r>
      <w:r w:rsidRPr="000B1DD0">
        <w:rPr>
          <w:rFonts w:eastAsia="Calibri"/>
          <w:sz w:val="28"/>
          <w:szCs w:val="28"/>
          <w:lang w:eastAsia="en-US"/>
        </w:rPr>
        <w:t xml:space="preserve"> </w:t>
      </w:r>
      <w:r w:rsidR="001732F8" w:rsidRPr="000B1DD0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0B1DD0">
        <w:rPr>
          <w:rFonts w:eastAsia="Calibri"/>
          <w:sz w:val="28"/>
          <w:szCs w:val="28"/>
          <w:lang w:eastAsia="en-US"/>
        </w:rPr>
        <w:t xml:space="preserve">на сумму </w:t>
      </w:r>
      <w:r w:rsidR="00E57B89" w:rsidRPr="000B1DD0">
        <w:rPr>
          <w:rFonts w:eastAsia="Calibri"/>
          <w:sz w:val="28"/>
          <w:szCs w:val="28"/>
          <w:lang w:eastAsia="en-US"/>
        </w:rPr>
        <w:t>около 24</w:t>
      </w:r>
      <w:r w:rsidRPr="000B1DD0">
        <w:rPr>
          <w:rFonts w:eastAsia="Calibri"/>
          <w:sz w:val="28"/>
          <w:szCs w:val="28"/>
          <w:lang w:eastAsia="en-US"/>
        </w:rPr>
        <w:t xml:space="preserve"> млн. рублей. Объектами закупок являлись: поставка продуктов питания для муниципальных бюджетных дошкольных </w:t>
      </w:r>
      <w:r w:rsidRPr="000B1DD0">
        <w:rPr>
          <w:rFonts w:eastAsia="Calibri"/>
          <w:sz w:val="28"/>
          <w:szCs w:val="28"/>
          <w:lang w:eastAsia="en-US"/>
        </w:rPr>
        <w:lastRenderedPageBreak/>
        <w:t xml:space="preserve">образовательных учреждений, поставка </w:t>
      </w:r>
      <w:r w:rsidR="00E57B89" w:rsidRPr="000B1DD0">
        <w:rPr>
          <w:rFonts w:eastAsia="Calibri"/>
          <w:sz w:val="28"/>
          <w:szCs w:val="28"/>
          <w:lang w:eastAsia="en-US"/>
        </w:rPr>
        <w:t>сканеров</w:t>
      </w:r>
      <w:r w:rsidRPr="000B1DD0">
        <w:rPr>
          <w:rFonts w:eastAsia="Calibri"/>
          <w:sz w:val="28"/>
          <w:szCs w:val="28"/>
          <w:lang w:eastAsia="en-US"/>
        </w:rPr>
        <w:t xml:space="preserve">, </w:t>
      </w:r>
      <w:r w:rsidR="00E57B89" w:rsidRPr="000B1DD0">
        <w:rPr>
          <w:rFonts w:eastAsia="Calibri"/>
          <w:sz w:val="28"/>
          <w:szCs w:val="28"/>
          <w:lang w:eastAsia="en-US"/>
        </w:rPr>
        <w:t>бумаги</w:t>
      </w:r>
      <w:r w:rsidRPr="000B1DD0">
        <w:rPr>
          <w:rFonts w:eastAsia="Calibri"/>
          <w:sz w:val="28"/>
          <w:szCs w:val="28"/>
          <w:lang w:eastAsia="en-US"/>
        </w:rPr>
        <w:t xml:space="preserve"> для муниципальных бюджетных учреждений, оказание услуг по проведению периодического медицинского осмотра сотрудников муниципальных бюджетных учреждений. </w:t>
      </w:r>
      <w:r w:rsidR="000B1DD0" w:rsidRPr="000B1DD0">
        <w:rPr>
          <w:rFonts w:eastAsia="Calibri"/>
          <w:sz w:val="28"/>
          <w:szCs w:val="28"/>
          <w:lang w:eastAsia="en-US"/>
        </w:rPr>
        <w:t>П</w:t>
      </w:r>
      <w:r w:rsidRPr="000B1DD0">
        <w:rPr>
          <w:rFonts w:eastAsia="Calibri"/>
          <w:sz w:val="28"/>
          <w:szCs w:val="28"/>
          <w:lang w:eastAsia="en-US"/>
        </w:rPr>
        <w:t xml:space="preserve">роведена совместная закупка, заказчиками которой выступали 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33 </w:t>
      </w:r>
      <w:r w:rsidRPr="000B1DD0">
        <w:rPr>
          <w:rFonts w:eastAsia="Calibri"/>
          <w:sz w:val="28"/>
          <w:szCs w:val="28"/>
          <w:lang w:eastAsia="en-US"/>
        </w:rPr>
        <w:t>учреждени</w:t>
      </w:r>
      <w:r w:rsidR="00E57B89" w:rsidRPr="000B1DD0">
        <w:rPr>
          <w:rFonts w:eastAsia="Calibri"/>
          <w:sz w:val="28"/>
          <w:szCs w:val="28"/>
          <w:lang w:eastAsia="en-US"/>
        </w:rPr>
        <w:t>я</w:t>
      </w:r>
      <w:r w:rsidRPr="000B1DD0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5A59A7" w:rsidRPr="000B1DD0" w:rsidRDefault="005A59A7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Экономия бюджетных средств в результате проведения совместных аукционов составила </w:t>
      </w:r>
      <w:r w:rsidR="00E57B89" w:rsidRPr="000B1DD0">
        <w:rPr>
          <w:rFonts w:eastAsia="Calibri"/>
          <w:sz w:val="28"/>
          <w:szCs w:val="28"/>
          <w:lang w:eastAsia="en-US"/>
        </w:rPr>
        <w:t>3,3</w:t>
      </w:r>
      <w:r w:rsidRPr="000B1DD0">
        <w:rPr>
          <w:rFonts w:eastAsia="Calibri"/>
          <w:sz w:val="28"/>
          <w:szCs w:val="28"/>
          <w:lang w:eastAsia="en-US"/>
        </w:rPr>
        <w:t xml:space="preserve"> млн. руб. </w:t>
      </w:r>
    </w:p>
    <w:p w:rsidR="00B35F50" w:rsidRDefault="00B35F50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55E60" w:rsidRPr="000B1DD0" w:rsidRDefault="00655E60" w:rsidP="00B35F50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0B1DD0">
        <w:rPr>
          <w:i/>
          <w:sz w:val="28"/>
          <w:szCs w:val="28"/>
        </w:rPr>
        <w:t>3.</w:t>
      </w:r>
      <w:r w:rsidR="00DD5C4E" w:rsidRPr="000B1DD0">
        <w:rPr>
          <w:i/>
          <w:sz w:val="28"/>
          <w:szCs w:val="28"/>
        </w:rPr>
        <w:t>2</w:t>
      </w:r>
      <w:r w:rsidRPr="000B1DD0">
        <w:rPr>
          <w:i/>
          <w:sz w:val="28"/>
          <w:szCs w:val="28"/>
        </w:rPr>
        <w:t>. Информац</w:t>
      </w:r>
      <w:r w:rsidR="00E26737" w:rsidRPr="000B1DD0">
        <w:rPr>
          <w:i/>
          <w:sz w:val="28"/>
          <w:szCs w:val="28"/>
        </w:rPr>
        <w:t>и</w:t>
      </w:r>
      <w:r w:rsidRPr="000B1DD0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7438E6" w:rsidRPr="000B1DD0" w:rsidRDefault="007438E6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0B1DD0" w:rsidRDefault="00655E60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0B1DD0">
        <w:rPr>
          <w:sz w:val="28"/>
          <w:szCs w:val="28"/>
        </w:rPr>
        <w:t>при осуществлении</w:t>
      </w:r>
      <w:r w:rsidR="00457D20" w:rsidRPr="000B1DD0">
        <w:rPr>
          <w:sz w:val="28"/>
          <w:szCs w:val="28"/>
        </w:rPr>
        <w:t xml:space="preserve"> </w:t>
      </w:r>
      <w:r w:rsidR="001C2C2A" w:rsidRPr="000B1DD0">
        <w:rPr>
          <w:sz w:val="28"/>
          <w:szCs w:val="28"/>
        </w:rPr>
        <w:t xml:space="preserve">            </w:t>
      </w:r>
      <w:r w:rsidR="00AE47DB" w:rsidRPr="000B1DD0">
        <w:rPr>
          <w:sz w:val="28"/>
          <w:szCs w:val="28"/>
        </w:rPr>
        <w:t xml:space="preserve">закупок </w:t>
      </w:r>
      <w:r w:rsidRPr="000B1DD0">
        <w:rPr>
          <w:sz w:val="28"/>
          <w:szCs w:val="28"/>
        </w:rPr>
        <w:t>преимущества предоставляются</w:t>
      </w:r>
      <w:r w:rsidR="00AE47DB" w:rsidRPr="000B1DD0">
        <w:rPr>
          <w:sz w:val="28"/>
          <w:szCs w:val="28"/>
        </w:rPr>
        <w:t>: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>-</w:t>
      </w:r>
      <w:r w:rsidR="00655E60" w:rsidRPr="000B1DD0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 xml:space="preserve">организациям инвалидов; </w:t>
      </w:r>
    </w:p>
    <w:p w:rsidR="00655E60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0B1DD0" w:rsidRDefault="00E12946" w:rsidP="00B35F50">
      <w:pPr>
        <w:widowControl w:val="0"/>
        <w:ind w:firstLine="709"/>
        <w:jc w:val="both"/>
        <w:rPr>
          <w:sz w:val="28"/>
          <w:szCs w:val="28"/>
        </w:rPr>
      </w:pPr>
    </w:p>
    <w:p w:rsidR="0028384A" w:rsidRPr="000B1DD0" w:rsidRDefault="007D7167" w:rsidP="00B35F5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B1DD0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0B1DD0">
        <w:rPr>
          <w:sz w:val="28"/>
          <w:szCs w:val="28"/>
        </w:rPr>
        <w:t xml:space="preserve"> </w:t>
      </w:r>
      <w:r w:rsidR="00552237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</w:t>
      </w:r>
      <w:r w:rsidR="00E57B89" w:rsidRPr="000B1DD0">
        <w:rPr>
          <w:sz w:val="28"/>
          <w:szCs w:val="28"/>
        </w:rPr>
        <w:t>25</w:t>
      </w:r>
      <w:r w:rsidRPr="000B1DD0">
        <w:rPr>
          <w:sz w:val="28"/>
          <w:szCs w:val="28"/>
        </w:rPr>
        <w:t>% совок</w:t>
      </w:r>
      <w:r w:rsidR="0028384A" w:rsidRPr="000B1DD0">
        <w:rPr>
          <w:sz w:val="28"/>
          <w:szCs w:val="28"/>
        </w:rPr>
        <w:t xml:space="preserve">упного годового объема закупок.  </w:t>
      </w:r>
    </w:p>
    <w:p w:rsidR="003E352B" w:rsidRPr="000B1DD0" w:rsidRDefault="00E57B89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 субъектами малого предпринимательства заключено 249 контрактов                  (в том числе по результатам закупок, заседания по которым прошли в </w:t>
      </w:r>
      <w:r w:rsidRPr="000B1DD0">
        <w:rPr>
          <w:sz w:val="28"/>
          <w:szCs w:val="28"/>
          <w:lang w:val="en-US"/>
        </w:rPr>
        <w:t>IV</w:t>
      </w:r>
      <w:r w:rsidRPr="000B1DD0">
        <w:rPr>
          <w:sz w:val="28"/>
          <w:szCs w:val="28"/>
        </w:rPr>
        <w:t xml:space="preserve"> квартале 2021 года) на общую сумму 433,1 млн. рублей, что составляет 16% от совокупного годового объема закупок на 2022 год в размере 2 632,0 млн. рублей (за </w:t>
      </w:r>
      <w:r w:rsidRPr="000B1DD0">
        <w:rPr>
          <w:sz w:val="28"/>
          <w:szCs w:val="28"/>
          <w:lang w:val="en-US"/>
        </w:rPr>
        <w:t>I</w:t>
      </w:r>
      <w:r w:rsidRPr="000B1DD0">
        <w:rPr>
          <w:sz w:val="28"/>
          <w:szCs w:val="28"/>
        </w:rPr>
        <w:t xml:space="preserve"> квартал 2021 года – 279 контрактов на сумму 349,5 млн. руб. или 15%).</w:t>
      </w:r>
    </w:p>
    <w:p w:rsidR="00E57B89" w:rsidRPr="000B1DD0" w:rsidRDefault="00E57B89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38D" w:rsidRPr="000B1DD0" w:rsidRDefault="00B6538D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Статьей 14 Закона о контрактной системе в целях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</w:t>
      </w:r>
      <w:r w:rsidR="008968F1" w:rsidRPr="000B1DD0">
        <w:rPr>
          <w:sz w:val="28"/>
          <w:szCs w:val="28"/>
        </w:rPr>
        <w:t>установлены</w:t>
      </w:r>
      <w:r w:rsidRPr="000B1DD0">
        <w:rPr>
          <w:sz w:val="28"/>
          <w:szCs w:val="28"/>
        </w:rPr>
        <w:t xml:space="preserve"> запрет</w:t>
      </w:r>
      <w:r w:rsidR="008968F1" w:rsidRPr="000B1DD0">
        <w:rPr>
          <w:sz w:val="28"/>
          <w:szCs w:val="28"/>
        </w:rPr>
        <w:t>ы</w:t>
      </w:r>
      <w:r w:rsidRPr="000B1DD0">
        <w:rPr>
          <w:sz w:val="28"/>
          <w:szCs w:val="28"/>
        </w:rPr>
        <w:t xml:space="preserve"> на допуск товаров, происходящих из иностранных государств, работ, услуг, соответственно выполняемых, оказываемых иностранными лицами, ограничения допуска указанных товаров, работ, услуг, а также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которые Заказчики устанавливают в извещении, документации о закупке.</w:t>
      </w:r>
    </w:p>
    <w:p w:rsidR="00B6538D" w:rsidRPr="000B1DD0" w:rsidRDefault="00B6538D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Так, в отчетном году </w:t>
      </w:r>
      <w:r w:rsidR="00AA608C">
        <w:rPr>
          <w:sz w:val="28"/>
          <w:szCs w:val="28"/>
        </w:rPr>
        <w:t xml:space="preserve">были установлены </w:t>
      </w:r>
      <w:r w:rsidRPr="000B1DD0">
        <w:rPr>
          <w:sz w:val="28"/>
          <w:szCs w:val="28"/>
        </w:rPr>
        <w:t xml:space="preserve">соответствующие запреты, ограничения или условия допуска в </w:t>
      </w:r>
      <w:r w:rsidR="00A613AE" w:rsidRPr="000B1DD0">
        <w:rPr>
          <w:sz w:val="28"/>
          <w:szCs w:val="28"/>
        </w:rPr>
        <w:t>60</w:t>
      </w:r>
      <w:r w:rsidRPr="000B1DD0">
        <w:rPr>
          <w:sz w:val="28"/>
          <w:szCs w:val="28"/>
        </w:rPr>
        <w:t xml:space="preserve"> закупках товаров, работ, услуг на общую сумму около </w:t>
      </w:r>
      <w:r w:rsidR="00A613AE" w:rsidRPr="000B1DD0">
        <w:rPr>
          <w:sz w:val="28"/>
          <w:szCs w:val="28"/>
        </w:rPr>
        <w:t>25</w:t>
      </w:r>
      <w:r w:rsidRPr="000B1DD0">
        <w:rPr>
          <w:sz w:val="28"/>
          <w:szCs w:val="28"/>
        </w:rPr>
        <w:t xml:space="preserve"> </w:t>
      </w:r>
      <w:r w:rsidR="00A613AE" w:rsidRPr="000B1DD0">
        <w:rPr>
          <w:sz w:val="28"/>
          <w:szCs w:val="28"/>
        </w:rPr>
        <w:t>млн</w:t>
      </w:r>
      <w:r w:rsidRPr="000B1DD0">
        <w:rPr>
          <w:sz w:val="28"/>
          <w:szCs w:val="28"/>
        </w:rPr>
        <w:t>. руб.</w:t>
      </w:r>
    </w:p>
    <w:p w:rsidR="00D940CD" w:rsidRPr="000B1DD0" w:rsidRDefault="00D940CD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60" w:rsidRPr="000B1DD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1DD0">
        <w:rPr>
          <w:i/>
          <w:sz w:val="28"/>
          <w:szCs w:val="28"/>
          <w:u w:val="single"/>
        </w:rPr>
        <w:lastRenderedPageBreak/>
        <w:t>4</w:t>
      </w:r>
      <w:r w:rsidR="00655E60" w:rsidRPr="000B1DD0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0B1DD0">
        <w:rPr>
          <w:i/>
          <w:sz w:val="28"/>
          <w:szCs w:val="28"/>
          <w:u w:val="single"/>
        </w:rPr>
        <w:t xml:space="preserve">                  </w:t>
      </w:r>
      <w:r w:rsidR="00655E60" w:rsidRPr="000B1DD0">
        <w:rPr>
          <w:i/>
          <w:sz w:val="28"/>
          <w:szCs w:val="28"/>
          <w:u w:val="single"/>
        </w:rPr>
        <w:t xml:space="preserve"> муниципальных нужд города Ни</w:t>
      </w:r>
      <w:r w:rsidRPr="000B1DD0">
        <w:rPr>
          <w:i/>
          <w:sz w:val="28"/>
          <w:szCs w:val="28"/>
          <w:u w:val="single"/>
        </w:rPr>
        <w:t>ж</w:t>
      </w:r>
      <w:r w:rsidR="00655E60" w:rsidRPr="000B1DD0">
        <w:rPr>
          <w:i/>
          <w:sz w:val="28"/>
          <w:szCs w:val="28"/>
          <w:u w:val="single"/>
        </w:rPr>
        <w:t xml:space="preserve">невартовска </w:t>
      </w:r>
      <w:r w:rsidR="00655E60" w:rsidRPr="000B1DD0">
        <w:rPr>
          <w:i/>
          <w:sz w:val="28"/>
          <w:szCs w:val="28"/>
        </w:rPr>
        <w:t>(по данным, представленным Заказчиками)</w:t>
      </w:r>
    </w:p>
    <w:p w:rsidR="005A59A7" w:rsidRPr="000B1DD0" w:rsidRDefault="005A59A7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0CD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З</w:t>
      </w:r>
      <w:r w:rsidR="004450B0" w:rsidRPr="000B1DD0">
        <w:rPr>
          <w:sz w:val="28"/>
          <w:szCs w:val="28"/>
        </w:rPr>
        <w:t xml:space="preserve">а счет бюджетных средств </w:t>
      </w:r>
      <w:r w:rsidR="003255B8" w:rsidRPr="000B1DD0">
        <w:rPr>
          <w:sz w:val="28"/>
          <w:szCs w:val="28"/>
        </w:rPr>
        <w:t>заключен</w:t>
      </w:r>
      <w:r w:rsidR="005F6F4A" w:rsidRPr="000B1DD0">
        <w:rPr>
          <w:sz w:val="28"/>
          <w:szCs w:val="28"/>
        </w:rPr>
        <w:t>о</w:t>
      </w:r>
      <w:r w:rsidR="009C2A4E" w:rsidRPr="000B1DD0">
        <w:rPr>
          <w:sz w:val="28"/>
          <w:szCs w:val="28"/>
        </w:rPr>
        <w:t xml:space="preserve"> </w:t>
      </w:r>
      <w:r w:rsidR="00A613AE" w:rsidRPr="000B1DD0">
        <w:rPr>
          <w:sz w:val="28"/>
          <w:szCs w:val="28"/>
        </w:rPr>
        <w:t>2 518</w:t>
      </w:r>
      <w:r w:rsidR="000D6EB5" w:rsidRPr="000B1DD0">
        <w:rPr>
          <w:sz w:val="28"/>
          <w:szCs w:val="28"/>
        </w:rPr>
        <w:t xml:space="preserve"> </w:t>
      </w:r>
      <w:r w:rsidR="00655E60" w:rsidRPr="000B1DD0">
        <w:rPr>
          <w:sz w:val="28"/>
          <w:szCs w:val="28"/>
        </w:rPr>
        <w:t>контрак</w:t>
      </w:r>
      <w:r w:rsidR="009C2D70" w:rsidRPr="000B1DD0">
        <w:rPr>
          <w:sz w:val="28"/>
          <w:szCs w:val="28"/>
        </w:rPr>
        <w:t>т</w:t>
      </w:r>
      <w:r w:rsidR="00A613AE" w:rsidRPr="000B1DD0">
        <w:rPr>
          <w:sz w:val="28"/>
          <w:szCs w:val="28"/>
        </w:rPr>
        <w:t>ов</w:t>
      </w:r>
      <w:r w:rsidR="00655E60" w:rsidRPr="000B1DD0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0B1DD0">
        <w:rPr>
          <w:sz w:val="28"/>
          <w:szCs w:val="28"/>
        </w:rPr>
        <w:t xml:space="preserve"> на общую сумму</w:t>
      </w:r>
      <w:r w:rsidR="001C2C2A" w:rsidRPr="000B1DD0">
        <w:rPr>
          <w:sz w:val="28"/>
          <w:szCs w:val="28"/>
        </w:rPr>
        <w:t xml:space="preserve"> </w:t>
      </w:r>
      <w:r w:rsidR="00A613AE" w:rsidRPr="000B1DD0">
        <w:rPr>
          <w:sz w:val="28"/>
          <w:szCs w:val="28"/>
        </w:rPr>
        <w:t>1 712,3</w:t>
      </w:r>
      <w:r w:rsidR="001C4F12" w:rsidRPr="000B1DD0">
        <w:rPr>
          <w:sz w:val="28"/>
          <w:szCs w:val="28"/>
        </w:rPr>
        <w:t xml:space="preserve"> млн</w:t>
      </w:r>
      <w:r w:rsidR="00907705" w:rsidRPr="000B1DD0">
        <w:rPr>
          <w:sz w:val="28"/>
          <w:szCs w:val="28"/>
        </w:rPr>
        <w:t>. руб</w:t>
      </w:r>
      <w:r w:rsidR="003255B8" w:rsidRPr="000B1DD0">
        <w:rPr>
          <w:sz w:val="28"/>
          <w:szCs w:val="28"/>
        </w:rPr>
        <w:t>.</w:t>
      </w:r>
      <w:r w:rsidRPr="000B1DD0">
        <w:rPr>
          <w:sz w:val="28"/>
          <w:szCs w:val="28"/>
        </w:rPr>
        <w:t xml:space="preserve">, </w:t>
      </w:r>
      <w:r w:rsidR="003255B8" w:rsidRPr="000B1DD0">
        <w:rPr>
          <w:sz w:val="28"/>
          <w:szCs w:val="28"/>
        </w:rPr>
        <w:t>в</w:t>
      </w:r>
      <w:r w:rsidR="001B0063" w:rsidRPr="000B1DD0">
        <w:rPr>
          <w:sz w:val="28"/>
          <w:szCs w:val="28"/>
        </w:rPr>
        <w:t xml:space="preserve"> том числе</w:t>
      </w:r>
      <w:r w:rsidR="004A7F89" w:rsidRPr="000B1DD0">
        <w:rPr>
          <w:sz w:val="28"/>
          <w:szCs w:val="28"/>
        </w:rPr>
        <w:t xml:space="preserve"> к</w:t>
      </w:r>
      <w:r w:rsidR="00E8350A" w:rsidRPr="000B1DD0">
        <w:rPr>
          <w:sz w:val="28"/>
          <w:szCs w:val="28"/>
        </w:rPr>
        <w:t>онкурентными способами закупок</w:t>
      </w:r>
      <w:r w:rsidR="00F05DA7" w:rsidRPr="000B1DD0">
        <w:rPr>
          <w:sz w:val="28"/>
          <w:szCs w:val="28"/>
        </w:rPr>
        <w:t xml:space="preserve"> заключено </w:t>
      </w:r>
      <w:r w:rsidR="00A613AE" w:rsidRPr="000B1DD0">
        <w:rPr>
          <w:sz w:val="28"/>
          <w:szCs w:val="28"/>
        </w:rPr>
        <w:t>142</w:t>
      </w:r>
      <w:r w:rsidR="00F05DA7" w:rsidRPr="000B1DD0">
        <w:rPr>
          <w:sz w:val="28"/>
          <w:szCs w:val="28"/>
        </w:rPr>
        <w:t xml:space="preserve"> контракт</w:t>
      </w:r>
      <w:r w:rsidR="00A613AE" w:rsidRPr="000B1DD0">
        <w:rPr>
          <w:sz w:val="28"/>
          <w:szCs w:val="28"/>
        </w:rPr>
        <w:t>а</w:t>
      </w:r>
      <w:r w:rsidR="0059342D" w:rsidRPr="000B1DD0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 xml:space="preserve">на сумму </w:t>
      </w:r>
      <w:r w:rsidR="00A613AE" w:rsidRPr="000B1DD0">
        <w:rPr>
          <w:sz w:val="28"/>
          <w:szCs w:val="28"/>
        </w:rPr>
        <w:t>1 292,7</w:t>
      </w:r>
      <w:r w:rsidR="00F05DA7" w:rsidRPr="000B1DD0">
        <w:rPr>
          <w:sz w:val="28"/>
          <w:szCs w:val="28"/>
        </w:rPr>
        <w:t xml:space="preserve"> млн. руб.</w:t>
      </w:r>
    </w:p>
    <w:p w:rsidR="00B35F50" w:rsidRPr="000B1DD0" w:rsidRDefault="00B35F50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A613AE" w:rsidP="00A6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  <w:r w:rsidR="004014C3" w:rsidRPr="00357BC7">
              <w:t>202</w:t>
            </w:r>
            <w:r>
              <w:t xml:space="preserve">2 </w:t>
            </w:r>
            <w:r w:rsidR="004014C3" w:rsidRPr="00357BC7">
              <w:t>год</w:t>
            </w:r>
            <w:r>
              <w:t>а</w:t>
            </w:r>
          </w:p>
        </w:tc>
      </w:tr>
      <w:tr w:rsidR="00357BC7" w:rsidRPr="00357BC7" w:rsidTr="00B35F50">
        <w:trPr>
          <w:trHeight w:val="705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613AE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613AE" w:rsidP="009C1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357BC7" w:rsidRPr="00357BC7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613AE" w:rsidP="005A59A7">
            <w:pPr>
              <w:widowControl w:val="0"/>
              <w:jc w:val="center"/>
            </w:pPr>
            <w:r>
              <w:t>111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613AE" w:rsidP="00D44D62">
            <w:pPr>
              <w:widowControl w:val="0"/>
              <w:jc w:val="center"/>
            </w:pPr>
            <w:r>
              <w:t>949,9</w:t>
            </w:r>
          </w:p>
        </w:tc>
      </w:tr>
      <w:tr w:rsidR="00357BC7" w:rsidRPr="00357BC7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613AE" w:rsidP="009C100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613AE" w:rsidP="003A00F0">
            <w:pPr>
              <w:widowControl w:val="0"/>
              <w:jc w:val="center"/>
            </w:pPr>
            <w:r>
              <w:t>9,3</w:t>
            </w:r>
          </w:p>
        </w:tc>
      </w:tr>
      <w:tr w:rsidR="00357BC7" w:rsidRPr="00357BC7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613AE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2 376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613AE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419,6</w:t>
            </w:r>
          </w:p>
        </w:tc>
      </w:tr>
      <w:tr w:rsidR="00345AF1" w:rsidRPr="00357BC7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613AE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2 518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613AE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1 712,3</w:t>
            </w:r>
          </w:p>
        </w:tc>
      </w:tr>
    </w:tbl>
    <w:p w:rsidR="00290A16" w:rsidRPr="00357BC7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A613AE">
        <w:rPr>
          <w:sz w:val="28"/>
          <w:szCs w:val="28"/>
          <w:lang w:val="en-US"/>
        </w:rPr>
        <w:t>I</w:t>
      </w:r>
      <w:r w:rsidR="00A613AE" w:rsidRPr="00A613AE">
        <w:rPr>
          <w:sz w:val="28"/>
          <w:szCs w:val="28"/>
        </w:rPr>
        <w:t xml:space="preserve"> </w:t>
      </w:r>
      <w:r w:rsidR="00A613AE">
        <w:rPr>
          <w:sz w:val="28"/>
          <w:szCs w:val="28"/>
        </w:rPr>
        <w:t xml:space="preserve">квартал </w:t>
      </w:r>
      <w:r w:rsidR="00D43C62" w:rsidRPr="00357BC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D43C62" w:rsidRPr="00357BC7">
        <w:rPr>
          <w:sz w:val="28"/>
          <w:szCs w:val="28"/>
        </w:rPr>
        <w:t xml:space="preserve"> год</w:t>
      </w:r>
      <w:r w:rsidR="00A613AE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составила </w:t>
      </w:r>
      <w:r w:rsidR="00A613AE">
        <w:rPr>
          <w:sz w:val="28"/>
          <w:szCs w:val="28"/>
        </w:rPr>
        <w:t>19,5</w:t>
      </w:r>
      <w:r w:rsidRPr="00357BC7">
        <w:rPr>
          <w:sz w:val="28"/>
          <w:szCs w:val="28"/>
        </w:rPr>
        <w:t xml:space="preserve"> млн. рублей или </w:t>
      </w:r>
      <w:r w:rsidR="00A613AE">
        <w:rPr>
          <w:sz w:val="28"/>
          <w:szCs w:val="28"/>
        </w:rPr>
        <w:t>1,5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Pr="00357BC7">
        <w:rPr>
          <w:i/>
          <w:sz w:val="28"/>
          <w:szCs w:val="28"/>
        </w:rPr>
        <w:t>.</w:t>
      </w:r>
    </w:p>
    <w:p w:rsidR="00D87B41" w:rsidRPr="00357BC7" w:rsidRDefault="00D87B4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357BC7" w:rsidRPr="00357BC7" w:rsidTr="00B35F50">
        <w:trPr>
          <w:trHeight w:val="1022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357BC7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Экономия </w:t>
            </w:r>
            <w:r w:rsidR="00CB6CD5" w:rsidRPr="00357BC7">
              <w:t>денежных</w:t>
            </w:r>
            <w:r>
              <w:t xml:space="preserve"> </w:t>
            </w:r>
            <w:r w:rsidR="00CB6CD5"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A613AE" w:rsidRPr="00357BC7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A613AE" w:rsidRPr="00357BC7" w:rsidRDefault="00A613AE" w:rsidP="00A613AE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AE" w:rsidRPr="00357BC7" w:rsidRDefault="00A613AE" w:rsidP="00A613AE">
            <w:pPr>
              <w:widowControl w:val="0"/>
              <w:jc w:val="center"/>
            </w:pPr>
            <w:r>
              <w:t>338,6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613AE" w:rsidRPr="00357BC7" w:rsidRDefault="00A613AE" w:rsidP="00A6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  <w:tc>
          <w:tcPr>
            <w:tcW w:w="2189" w:type="dxa"/>
            <w:vAlign w:val="center"/>
          </w:tcPr>
          <w:p w:rsidR="00A613AE" w:rsidRPr="00357BC7" w:rsidRDefault="00A613AE" w:rsidP="00A613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5,1</w:t>
            </w:r>
          </w:p>
        </w:tc>
      </w:tr>
      <w:tr w:rsidR="00A613AE" w:rsidRPr="00357BC7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A613AE" w:rsidRPr="00357BC7" w:rsidRDefault="00A613AE" w:rsidP="00A613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AE" w:rsidRPr="00357BC7" w:rsidRDefault="00A613AE" w:rsidP="00A613AE">
            <w:pPr>
              <w:widowControl w:val="0"/>
              <w:jc w:val="center"/>
            </w:pPr>
            <w:r>
              <w:t>963,4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613AE" w:rsidRPr="00357BC7" w:rsidRDefault="00A613AE" w:rsidP="00A613AE">
            <w:pPr>
              <w:widowControl w:val="0"/>
              <w:jc w:val="center"/>
            </w:pPr>
            <w:r>
              <w:t>949,9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613AE" w:rsidRPr="00357BC7" w:rsidRDefault="00A613AE" w:rsidP="00A613AE">
            <w:pPr>
              <w:widowControl w:val="0"/>
              <w:jc w:val="center"/>
            </w:pPr>
            <w:r>
              <w:t>13,5</w:t>
            </w:r>
          </w:p>
        </w:tc>
      </w:tr>
      <w:tr w:rsidR="00A613AE" w:rsidRPr="00357BC7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A613AE" w:rsidRPr="00357BC7" w:rsidRDefault="00A613AE" w:rsidP="00A613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AE" w:rsidRPr="00357BC7" w:rsidRDefault="00A613AE" w:rsidP="00A613AE">
            <w:pPr>
              <w:widowControl w:val="0"/>
              <w:jc w:val="center"/>
            </w:pPr>
            <w:r>
              <w:t>10,2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613AE" w:rsidRPr="00357BC7" w:rsidRDefault="00A613AE" w:rsidP="00A613AE">
            <w:pPr>
              <w:widowControl w:val="0"/>
              <w:jc w:val="center"/>
            </w:pPr>
            <w:r>
              <w:t>9,3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613AE" w:rsidRPr="00357BC7" w:rsidRDefault="00A613AE" w:rsidP="00A613AE">
            <w:pPr>
              <w:widowControl w:val="0"/>
              <w:jc w:val="center"/>
            </w:pPr>
            <w:r>
              <w:t>0,9</w:t>
            </w:r>
          </w:p>
        </w:tc>
      </w:tr>
      <w:tr w:rsidR="006872C7" w:rsidRPr="00357BC7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6872C7" w:rsidRPr="00357BC7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6872C7" w:rsidRPr="00357BC7" w:rsidRDefault="00A613AE" w:rsidP="006872C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1 312,2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872C7" w:rsidRPr="00357BC7" w:rsidRDefault="00A613AE" w:rsidP="004014C3">
            <w:pPr>
              <w:widowControl w:val="0"/>
              <w:jc w:val="center"/>
            </w:pPr>
            <w:r>
              <w:t>1 292,7</w:t>
            </w:r>
          </w:p>
        </w:tc>
        <w:tc>
          <w:tcPr>
            <w:tcW w:w="2189" w:type="dxa"/>
            <w:vAlign w:val="center"/>
          </w:tcPr>
          <w:p w:rsidR="006872C7" w:rsidRPr="00357BC7" w:rsidRDefault="00A613AE" w:rsidP="00A613AE">
            <w:pPr>
              <w:widowControl w:val="0"/>
              <w:jc w:val="center"/>
            </w:pPr>
            <w:r>
              <w:t>19,5</w:t>
            </w:r>
          </w:p>
        </w:tc>
      </w:tr>
    </w:tbl>
    <w:p w:rsidR="00A613AE" w:rsidRDefault="00A613AE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0B1DD0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0B1DD0">
        <w:rPr>
          <w:i/>
          <w:sz w:val="28"/>
          <w:szCs w:val="28"/>
          <w:u w:val="single"/>
        </w:rPr>
        <w:t xml:space="preserve">              </w:t>
      </w:r>
      <w:r w:rsidR="00655E60" w:rsidRPr="000B1DD0">
        <w:rPr>
          <w:i/>
          <w:sz w:val="28"/>
          <w:szCs w:val="28"/>
          <w:u w:val="single"/>
        </w:rPr>
        <w:t xml:space="preserve"> (бездействия)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0B1DD0">
        <w:rPr>
          <w:i/>
          <w:sz w:val="28"/>
          <w:szCs w:val="28"/>
          <w:u w:val="single"/>
        </w:rPr>
        <w:t xml:space="preserve">            </w:t>
      </w:r>
      <w:r w:rsidR="00655E60" w:rsidRPr="000B1DD0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0B1DD0">
        <w:rPr>
          <w:i/>
          <w:sz w:val="28"/>
          <w:szCs w:val="28"/>
          <w:u w:val="single"/>
        </w:rPr>
        <w:t xml:space="preserve">                    </w:t>
      </w:r>
      <w:r w:rsidR="00FE6081"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237D09" w:rsidRPr="000B1DD0" w:rsidRDefault="00237D09" w:rsidP="00B6673D">
      <w:pPr>
        <w:widowControl w:val="0"/>
        <w:ind w:firstLine="709"/>
        <w:jc w:val="both"/>
        <w:rPr>
          <w:sz w:val="28"/>
          <w:szCs w:val="28"/>
        </w:rPr>
      </w:pPr>
    </w:p>
    <w:p w:rsidR="005A59A7" w:rsidRPr="000B1DD0" w:rsidRDefault="005A59A7" w:rsidP="005A59A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sz w:val="28"/>
          <w:szCs w:val="28"/>
        </w:rPr>
        <w:t xml:space="preserve">Всего с начала года в </w:t>
      </w:r>
      <w:r w:rsidRPr="000B1DD0">
        <w:rPr>
          <w:spacing w:val="-1"/>
          <w:sz w:val="28"/>
          <w:szCs w:val="28"/>
        </w:rPr>
        <w:t xml:space="preserve">Управление </w:t>
      </w:r>
      <w:r w:rsidRPr="000B1DD0">
        <w:rPr>
          <w:sz w:val="28"/>
          <w:szCs w:val="28"/>
        </w:rPr>
        <w:t>Федеральной антимонопольной службы по Ханты–Мансийскому автономному округу – Югре был</w:t>
      </w:r>
      <w:r w:rsidR="00881753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подан</w:t>
      </w:r>
      <w:r w:rsidR="007312F3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</w:t>
      </w:r>
      <w:r w:rsidR="007312F3" w:rsidRPr="000B1DD0">
        <w:rPr>
          <w:sz w:val="28"/>
          <w:szCs w:val="28"/>
        </w:rPr>
        <w:t>1</w:t>
      </w:r>
      <w:r w:rsidRPr="000B1DD0">
        <w:rPr>
          <w:sz w:val="28"/>
          <w:szCs w:val="28"/>
        </w:rPr>
        <w:t xml:space="preserve"> жалоб</w:t>
      </w:r>
      <w:r w:rsidR="007312F3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</w:t>
      </w:r>
      <w:r w:rsidR="001732F8" w:rsidRPr="000B1DD0">
        <w:rPr>
          <w:sz w:val="28"/>
          <w:szCs w:val="28"/>
        </w:rPr>
        <w:t xml:space="preserve">                 </w:t>
      </w:r>
      <w:r w:rsidRPr="000B1DD0">
        <w:rPr>
          <w:sz w:val="28"/>
          <w:szCs w:val="28"/>
        </w:rPr>
        <w:t>на действи</w:t>
      </w:r>
      <w:r w:rsidR="00881753" w:rsidRPr="000B1DD0">
        <w:rPr>
          <w:sz w:val="28"/>
          <w:szCs w:val="28"/>
        </w:rPr>
        <w:t>е</w:t>
      </w:r>
      <w:r w:rsidRPr="000B1DD0">
        <w:rPr>
          <w:sz w:val="28"/>
          <w:szCs w:val="28"/>
        </w:rPr>
        <w:t xml:space="preserve"> котировочн</w:t>
      </w:r>
      <w:r w:rsidR="00881753" w:rsidRPr="000B1DD0">
        <w:rPr>
          <w:sz w:val="28"/>
          <w:szCs w:val="28"/>
        </w:rPr>
        <w:t xml:space="preserve">ой </w:t>
      </w:r>
      <w:r w:rsidRPr="000B1DD0">
        <w:rPr>
          <w:sz w:val="28"/>
          <w:szCs w:val="28"/>
        </w:rPr>
        <w:t>комисси</w:t>
      </w:r>
      <w:r w:rsidR="00881753" w:rsidRPr="000B1DD0">
        <w:rPr>
          <w:sz w:val="28"/>
          <w:szCs w:val="28"/>
        </w:rPr>
        <w:t>и</w:t>
      </w:r>
      <w:r w:rsidRPr="000B1DD0">
        <w:rPr>
          <w:sz w:val="28"/>
          <w:szCs w:val="28"/>
        </w:rPr>
        <w:t>,</w:t>
      </w:r>
      <w:r w:rsidR="00881753" w:rsidRPr="000B1DD0">
        <w:rPr>
          <w:sz w:val="28"/>
          <w:szCs w:val="28"/>
        </w:rPr>
        <w:t xml:space="preserve"> в которой </w:t>
      </w:r>
      <w:r w:rsidR="00881753" w:rsidRPr="000B1DD0">
        <w:rPr>
          <w:rFonts w:eastAsia="Calibri"/>
          <w:sz w:val="28"/>
          <w:szCs w:val="28"/>
          <w:lang w:eastAsia="en-US"/>
        </w:rPr>
        <w:t xml:space="preserve">контролирующим органом </w:t>
      </w:r>
      <w:r w:rsidR="00881753" w:rsidRPr="000B1DD0">
        <w:rPr>
          <w:sz w:val="28"/>
          <w:szCs w:val="28"/>
        </w:rPr>
        <w:t xml:space="preserve">было признано нарушение, </w:t>
      </w:r>
      <w:r w:rsidRPr="000B1DD0">
        <w:rPr>
          <w:rFonts w:eastAsia="Calibri"/>
          <w:sz w:val="28"/>
          <w:szCs w:val="28"/>
          <w:lang w:eastAsia="en-US"/>
        </w:rPr>
        <w:t>предписани</w:t>
      </w:r>
      <w:r w:rsidR="00881753" w:rsidRPr="000B1DD0">
        <w:rPr>
          <w:rFonts w:eastAsia="Calibri"/>
          <w:sz w:val="28"/>
          <w:szCs w:val="28"/>
          <w:lang w:eastAsia="en-US"/>
        </w:rPr>
        <w:t>е</w:t>
      </w:r>
      <w:r w:rsidRPr="000B1DD0">
        <w:rPr>
          <w:rFonts w:eastAsia="Calibri"/>
          <w:sz w:val="28"/>
          <w:szCs w:val="28"/>
          <w:lang w:eastAsia="en-US"/>
        </w:rPr>
        <w:t xml:space="preserve"> </w:t>
      </w:r>
      <w:r w:rsidR="00881753" w:rsidRPr="000B1DD0">
        <w:rPr>
          <w:rFonts w:eastAsia="Calibri"/>
          <w:sz w:val="28"/>
          <w:szCs w:val="28"/>
          <w:lang w:eastAsia="en-US"/>
        </w:rPr>
        <w:t>об устранении нарушения не выдавалось</w:t>
      </w:r>
      <w:r w:rsidRPr="000B1DD0">
        <w:rPr>
          <w:rFonts w:eastAsia="Calibri"/>
          <w:sz w:val="28"/>
          <w:szCs w:val="28"/>
          <w:lang w:eastAsia="en-US"/>
        </w:rPr>
        <w:t xml:space="preserve">. </w:t>
      </w:r>
    </w:p>
    <w:p w:rsidR="008968F1" w:rsidRPr="000B1DD0" w:rsidRDefault="008968F1" w:rsidP="008769C7">
      <w:pPr>
        <w:pStyle w:val="a3"/>
        <w:widowControl w:val="0"/>
        <w:ind w:firstLine="709"/>
        <w:rPr>
          <w:szCs w:val="28"/>
        </w:rPr>
      </w:pPr>
    </w:p>
    <w:p w:rsidR="00E156E5" w:rsidRPr="000B1DD0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881753" w:rsidRPr="000B1DD0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>для муниципаль</w:t>
      </w:r>
      <w:r w:rsidR="0000329E" w:rsidRPr="000B1DD0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за</w:t>
      </w:r>
      <w:r w:rsidR="00881753">
        <w:rPr>
          <w:b/>
          <w:sz w:val="28"/>
          <w:szCs w:val="28"/>
        </w:rPr>
        <w:t xml:space="preserve"> </w:t>
      </w:r>
      <w:r w:rsidR="00881753">
        <w:rPr>
          <w:b/>
          <w:sz w:val="28"/>
          <w:szCs w:val="28"/>
          <w:lang w:val="en-US"/>
        </w:rPr>
        <w:t>I</w:t>
      </w:r>
      <w:r w:rsidR="00881753" w:rsidRPr="00881753">
        <w:rPr>
          <w:b/>
          <w:sz w:val="28"/>
          <w:szCs w:val="28"/>
        </w:rPr>
        <w:t xml:space="preserve"> </w:t>
      </w:r>
      <w:r w:rsidR="00881753">
        <w:rPr>
          <w:b/>
          <w:sz w:val="28"/>
          <w:szCs w:val="28"/>
        </w:rPr>
        <w:t xml:space="preserve">квартал </w:t>
      </w:r>
      <w:r w:rsidR="00185AF1" w:rsidRPr="00357BC7">
        <w:rPr>
          <w:b/>
          <w:sz w:val="28"/>
          <w:szCs w:val="28"/>
        </w:rPr>
        <w:t>202</w:t>
      </w:r>
      <w:r w:rsidR="00881753">
        <w:rPr>
          <w:b/>
          <w:sz w:val="28"/>
          <w:szCs w:val="28"/>
        </w:rPr>
        <w:t>2</w:t>
      </w:r>
      <w:r w:rsidR="00E76CC4" w:rsidRPr="00357BC7">
        <w:rPr>
          <w:b/>
          <w:sz w:val="28"/>
          <w:szCs w:val="28"/>
        </w:rPr>
        <w:t xml:space="preserve"> год</w:t>
      </w:r>
      <w:r w:rsidR="00881753">
        <w:rPr>
          <w:b/>
          <w:sz w:val="28"/>
          <w:szCs w:val="28"/>
        </w:rPr>
        <w:t>а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5A59A7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За </w:t>
      </w:r>
      <w:r w:rsidR="00A613AE">
        <w:rPr>
          <w:sz w:val="28"/>
          <w:szCs w:val="28"/>
          <w:lang w:val="en-US"/>
        </w:rPr>
        <w:t>I</w:t>
      </w:r>
      <w:r w:rsidR="00A613AE" w:rsidRPr="00A613AE">
        <w:rPr>
          <w:sz w:val="28"/>
          <w:szCs w:val="28"/>
        </w:rPr>
        <w:t xml:space="preserve"> </w:t>
      </w:r>
      <w:r w:rsidR="00A613AE">
        <w:rPr>
          <w:sz w:val="28"/>
          <w:szCs w:val="28"/>
        </w:rPr>
        <w:t xml:space="preserve">квартал </w:t>
      </w:r>
      <w:r w:rsidR="002A178E" w:rsidRPr="005A59A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2A178E" w:rsidRPr="005A59A7">
        <w:rPr>
          <w:b/>
          <w:sz w:val="28"/>
          <w:szCs w:val="28"/>
        </w:rPr>
        <w:t xml:space="preserve"> </w:t>
      </w:r>
      <w:r w:rsidR="00185AF1" w:rsidRPr="005A59A7">
        <w:rPr>
          <w:sz w:val="28"/>
          <w:szCs w:val="28"/>
        </w:rPr>
        <w:t>год</w:t>
      </w:r>
      <w:r w:rsidR="00A613AE">
        <w:rPr>
          <w:sz w:val="28"/>
          <w:szCs w:val="28"/>
        </w:rPr>
        <w:t>а</w:t>
      </w:r>
      <w:r w:rsidR="00185AF1" w:rsidRPr="005A59A7">
        <w:rPr>
          <w:sz w:val="28"/>
          <w:szCs w:val="28"/>
        </w:rPr>
        <w:t xml:space="preserve"> </w:t>
      </w:r>
      <w:r w:rsidR="003B46FE" w:rsidRPr="005A59A7">
        <w:rPr>
          <w:sz w:val="28"/>
          <w:szCs w:val="28"/>
        </w:rPr>
        <w:t>к</w:t>
      </w:r>
      <w:r w:rsidR="00FF14C4" w:rsidRPr="005A59A7">
        <w:rPr>
          <w:sz w:val="28"/>
          <w:szCs w:val="28"/>
        </w:rPr>
        <w:t xml:space="preserve">онтрактная система обеспечила: </w:t>
      </w:r>
    </w:p>
    <w:p w:rsidR="00FF14C4" w:rsidRPr="003C00E5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0E5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C00E5">
        <w:rPr>
          <w:sz w:val="28"/>
          <w:szCs w:val="28"/>
        </w:rPr>
        <w:t xml:space="preserve">               </w:t>
      </w:r>
      <w:r w:rsidRPr="003C00E5">
        <w:rPr>
          <w:sz w:val="28"/>
          <w:szCs w:val="28"/>
        </w:rPr>
        <w:t>муниципальных нужд города Нижневартовска</w:t>
      </w:r>
      <w:r w:rsidR="00707AB1" w:rsidRPr="003C00E5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3C00E5" w:rsidRPr="003C00E5">
        <w:rPr>
          <w:sz w:val="28"/>
          <w:szCs w:val="28"/>
        </w:rPr>
        <w:t>28</w:t>
      </w:r>
      <w:r w:rsidR="00707AB1" w:rsidRPr="003C00E5">
        <w:rPr>
          <w:sz w:val="28"/>
          <w:szCs w:val="28"/>
        </w:rPr>
        <w:t>%</w:t>
      </w:r>
      <w:r w:rsidR="003A00F0" w:rsidRPr="003C00E5">
        <w:rPr>
          <w:sz w:val="28"/>
          <w:szCs w:val="28"/>
        </w:rPr>
        <w:t>;</w:t>
      </w:r>
    </w:p>
    <w:p w:rsidR="003A34BE" w:rsidRPr="005A59A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- экономи</w:t>
      </w:r>
      <w:r w:rsidR="00215D89" w:rsidRPr="005A59A7">
        <w:rPr>
          <w:sz w:val="28"/>
          <w:szCs w:val="28"/>
        </w:rPr>
        <w:t>ю</w:t>
      </w:r>
      <w:r w:rsidRPr="005A59A7">
        <w:rPr>
          <w:sz w:val="28"/>
          <w:szCs w:val="28"/>
        </w:rPr>
        <w:t xml:space="preserve"> </w:t>
      </w:r>
      <w:r w:rsidR="002B6C0D" w:rsidRPr="005A59A7">
        <w:rPr>
          <w:sz w:val="28"/>
          <w:szCs w:val="28"/>
        </w:rPr>
        <w:t>денежных</w:t>
      </w:r>
      <w:r w:rsidRPr="005A59A7">
        <w:rPr>
          <w:sz w:val="28"/>
          <w:szCs w:val="28"/>
        </w:rPr>
        <w:t xml:space="preserve"> сре</w:t>
      </w:r>
      <w:r w:rsidR="00215D89" w:rsidRPr="005A59A7">
        <w:rPr>
          <w:sz w:val="28"/>
          <w:szCs w:val="28"/>
        </w:rPr>
        <w:t>дств в результате осуществления</w:t>
      </w:r>
      <w:r w:rsidR="00457D2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>закупок</w:t>
      </w:r>
      <w:r w:rsidR="001C2C2A" w:rsidRPr="005A59A7">
        <w:rPr>
          <w:sz w:val="28"/>
          <w:szCs w:val="28"/>
        </w:rPr>
        <w:t xml:space="preserve"> </w:t>
      </w:r>
      <w:r w:rsidR="00FE6081" w:rsidRPr="005A59A7">
        <w:rPr>
          <w:sz w:val="28"/>
          <w:szCs w:val="28"/>
        </w:rPr>
        <w:t xml:space="preserve">                         </w:t>
      </w:r>
      <w:r w:rsidR="004E4D23" w:rsidRPr="005A59A7">
        <w:rPr>
          <w:sz w:val="28"/>
          <w:szCs w:val="28"/>
        </w:rPr>
        <w:t xml:space="preserve">в размере </w:t>
      </w:r>
      <w:r w:rsidR="00A613AE">
        <w:rPr>
          <w:sz w:val="28"/>
          <w:szCs w:val="28"/>
        </w:rPr>
        <w:t>19,5</w:t>
      </w:r>
      <w:r w:rsidR="000E2E8E" w:rsidRPr="005A59A7">
        <w:rPr>
          <w:sz w:val="28"/>
          <w:szCs w:val="28"/>
        </w:rPr>
        <w:t xml:space="preserve"> </w:t>
      </w:r>
      <w:r w:rsidR="00BC6BC6" w:rsidRPr="005A59A7">
        <w:rPr>
          <w:sz w:val="28"/>
          <w:szCs w:val="28"/>
        </w:rPr>
        <w:t>млн.</w:t>
      </w:r>
      <w:r w:rsidR="005C1BF0" w:rsidRPr="005A59A7">
        <w:rPr>
          <w:sz w:val="28"/>
          <w:szCs w:val="28"/>
        </w:rPr>
        <w:t xml:space="preserve"> руб.</w:t>
      </w:r>
    </w:p>
    <w:p w:rsidR="00926C12" w:rsidRPr="005A59A7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4A3B1E">
        <w:rPr>
          <w:sz w:val="28"/>
          <w:szCs w:val="28"/>
        </w:rPr>
        <w:t>433,1</w:t>
      </w:r>
      <w:r w:rsidR="00A3383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 xml:space="preserve">млн. руб. или </w:t>
      </w:r>
      <w:r w:rsidR="004A3B1E">
        <w:rPr>
          <w:sz w:val="28"/>
          <w:szCs w:val="28"/>
        </w:rPr>
        <w:t>16</w:t>
      </w:r>
      <w:r w:rsidRPr="005A59A7">
        <w:rPr>
          <w:sz w:val="28"/>
          <w:szCs w:val="28"/>
        </w:rPr>
        <w:t>% от совокупного годового объема закупок.</w:t>
      </w:r>
    </w:p>
    <w:sectPr w:rsidR="00926C12" w:rsidRPr="005A59A7" w:rsidSect="00D51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5359"/>
    <w:rsid w:val="00045A15"/>
    <w:rsid w:val="0005057F"/>
    <w:rsid w:val="00051238"/>
    <w:rsid w:val="00052FCF"/>
    <w:rsid w:val="00054FAC"/>
    <w:rsid w:val="00055D77"/>
    <w:rsid w:val="00055F48"/>
    <w:rsid w:val="00057856"/>
    <w:rsid w:val="00057B5D"/>
    <w:rsid w:val="0006168D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4ADA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9A7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AB3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50416"/>
    <w:rsid w:val="00650D8C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B4D79"/>
    <w:rsid w:val="006C0B96"/>
    <w:rsid w:val="006C146D"/>
    <w:rsid w:val="006C1651"/>
    <w:rsid w:val="006C19A5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8D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A07E6"/>
    <w:rsid w:val="008A2E85"/>
    <w:rsid w:val="008A40DE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03EE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96EDC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605C"/>
    <w:rsid w:val="00A4668E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77C1B"/>
    <w:rsid w:val="00A81D60"/>
    <w:rsid w:val="00A82BDA"/>
    <w:rsid w:val="00A83555"/>
    <w:rsid w:val="00A836DF"/>
    <w:rsid w:val="00A848EE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8C0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5F50"/>
    <w:rsid w:val="00B3742C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99"/>
    <w:rsid w:val="00B627CD"/>
    <w:rsid w:val="00B63844"/>
    <w:rsid w:val="00B642B5"/>
    <w:rsid w:val="00B6451B"/>
    <w:rsid w:val="00B6475E"/>
    <w:rsid w:val="00B6525F"/>
    <w:rsid w:val="00B6538D"/>
    <w:rsid w:val="00B66023"/>
    <w:rsid w:val="00B6638E"/>
    <w:rsid w:val="00B66458"/>
    <w:rsid w:val="00B6673D"/>
    <w:rsid w:val="00B66CB0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0FA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621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26F4"/>
    <w:rsid w:val="00EB2893"/>
    <w:rsid w:val="00EB541F"/>
    <w:rsid w:val="00EC030C"/>
    <w:rsid w:val="00EC165B"/>
    <w:rsid w:val="00EC2327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453"/>
    <w:rsid w:val="00F67A1C"/>
    <w:rsid w:val="00F70135"/>
    <w:rsid w:val="00F70314"/>
    <w:rsid w:val="00F70DC7"/>
    <w:rsid w:val="00F72701"/>
    <w:rsid w:val="00F738FC"/>
    <w:rsid w:val="00F74A2D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0D35-E8FD-4D0D-A3C3-86F0629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2022-04-25T05:01:00Z</cp:lastPrinted>
  <dcterms:created xsi:type="dcterms:W3CDTF">2022-05-13T03:56:00Z</dcterms:created>
  <dcterms:modified xsi:type="dcterms:W3CDTF">2022-05-13T03:56:00Z</dcterms:modified>
</cp:coreProperties>
</file>