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6029316"/>
      <w:r>
        <w:rPr>
          <w:rFonts w:ascii="Times New Roman" w:hAnsi="Times New Roman" w:cs="Times New Roman"/>
          <w:b/>
          <w:sz w:val="24"/>
          <w:szCs w:val="24"/>
        </w:rPr>
        <w:t xml:space="preserve">АКТ О РЕЗУЛЬТАТАХ КОНТРОЛЯ </w:t>
      </w:r>
    </w:p>
    <w:p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eastAsia="Arial Unicode MS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исполнения Концессионером условий Концессионного соглашения</w:t>
      </w:r>
    </w:p>
    <w:p>
      <w:pPr>
        <w:tabs>
          <w:tab w:val="left" w:pos="6521"/>
        </w:tabs>
        <w:spacing w:line="240" w:lineRule="auto"/>
        <w:rPr>
          <w:rFonts w:ascii="Times New Roman" w:hAnsi="Times New Roman" w:eastAsia="Arial Unicode MS"/>
          <w:sz w:val="24"/>
          <w:szCs w:val="24"/>
          <w:lang w:eastAsia="en-GB"/>
        </w:rPr>
      </w:pPr>
    </w:p>
    <w:p>
      <w:pPr>
        <w:tabs>
          <w:tab w:val="left" w:pos="6521"/>
        </w:tabs>
        <w:spacing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г. Нижневартовск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Arial Unicode MS"/>
          <w:sz w:val="24"/>
          <w:szCs w:val="24"/>
          <w:lang w:eastAsia="en-GB"/>
        </w:rPr>
        <w:t xml:space="preserve">«</w:t>
      </w:r>
      <w:r>
        <w:rPr>
          <w:rFonts w:ascii="Times New Roman" w:hAnsi="Times New Roman" w:eastAsia="Arial Unicode MS"/>
          <w:sz w:val="24"/>
          <w:szCs w:val="24"/>
          <w:lang w:eastAsia="en-GB"/>
        </w:rPr>
        <w:t xml:space="preserve">03</w:t>
      </w:r>
      <w:r>
        <w:rPr>
          <w:rFonts w:ascii="Times New Roman" w:hAnsi="Times New Roman" w:eastAsia="Arial Unicode MS"/>
          <w:sz w:val="24"/>
          <w:szCs w:val="24"/>
          <w:lang w:eastAsia="en-GB"/>
        </w:rPr>
        <w:t xml:space="preserve">» </w:t>
      </w:r>
      <w:r>
        <w:rPr>
          <w:rFonts w:ascii="Times New Roman" w:hAnsi="Times New Roman" w:eastAsia="Arial Unicode MS"/>
          <w:sz w:val="24"/>
          <w:szCs w:val="24"/>
          <w:lang w:eastAsia="en-GB"/>
        </w:rPr>
        <w:t xml:space="preserve">июня</w:t>
      </w:r>
      <w:r>
        <w:rPr>
          <w:rFonts w:ascii="Times New Roman" w:hAnsi="Times New Roman" w:eastAsia="Arial Unicode MS"/>
          <w:sz w:val="24"/>
          <w:szCs w:val="24"/>
          <w:lang w:eastAsia="en-GB"/>
        </w:rPr>
        <w:t xml:space="preserve"> 2025 </w:t>
      </w:r>
      <w:r>
        <w:rPr>
          <w:rFonts w:ascii="Times New Roman" w:hAnsi="Times New Roman" w:eastAsia="Arial Unicode MS"/>
          <w:sz w:val="24"/>
          <w:szCs w:val="24"/>
          <w:lang w:eastAsia="en-GB"/>
        </w:rPr>
        <w:t xml:space="preserve">г.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eastAsia="SimSun" w:cs="Times New Roman"/>
          <w:sz w:val="24"/>
          <w:szCs w:val="24"/>
          <w:lang w:eastAsia="ar-SA"/>
        </w:rPr>
      </w:pPr>
      <w:r>
        <w:rPr>
          <w:rFonts w:ascii="Times New Roman" w:hAnsi="Times New Roman" w:eastAsia="SimSun" w:cs="Times New Roman"/>
          <w:b/>
          <w:bCs/>
          <w:iCs/>
          <w:sz w:val="24"/>
          <w:szCs w:val="24"/>
          <w:lang w:eastAsia="ar-SA"/>
        </w:rPr>
        <w:t xml:space="preserve">Муниципальное образование город Нижневартовск Ханты-Мансийского автономного округа – Югры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 в лице заместителя главы города, директора департамента жилищно-коммунального хозяйства администрации города </w:t>
      </w:r>
      <w:r>
        <w:rPr>
          <w:rFonts w:ascii="Times New Roman" w:hAnsi="Times New Roman" w:eastAsia="SimSun" w:cs="Times New Roman"/>
          <w:b/>
          <w:sz w:val="24"/>
          <w:szCs w:val="24"/>
          <w:lang w:eastAsia="ar-SA"/>
        </w:rPr>
        <w:t xml:space="preserve">Бокова Анатолия Николаевича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ar-SA"/>
        </w:rPr>
        <w:t xml:space="preserve">действующего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ar-SA"/>
        </w:rPr>
        <w:t xml:space="preserve">в соответствии 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с постановлением администрации города Нижневартовска 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от 12.12.2024 №1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135 «Об осуществлении отдельных 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прав и обязанностей 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концеден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та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 структурными подразделениями 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администрации города при заключ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ении 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br/>
        <w:t xml:space="preserve">и исполнении концессионных 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соглашений»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, именуемое в дальнейшем </w:t>
      </w:r>
      <w:r>
        <w:rPr>
          <w:rFonts w:ascii="Times New Roman" w:hAnsi="Times New Roman" w:eastAsia="SimSun" w:cs="Times New Roman"/>
          <w:b/>
          <w:sz w:val="24"/>
          <w:szCs w:val="24"/>
          <w:lang w:eastAsia="ar-SA"/>
        </w:rPr>
        <w:t xml:space="preserve">«Концедент»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br/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с одной стороны,</w:t>
      </w:r>
      <w:r>
        <w:rPr>
          <w:rFonts w:ascii="Times New Roman" w:hAnsi="Times New Roman" w:eastAsia="SimSun" w:cs="Times New Roman"/>
          <w:b/>
          <w:bCs/>
          <w:i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бщество с ограниченной ответственностью «Нижневартовские коммунальные системы» </w:t>
      </w:r>
      <w:r>
        <w:rPr>
          <w:rFonts w:ascii="Times New Roman" w:hAnsi="Times New Roman" w:eastAsia="SimSun" w:cs="Times New Roman"/>
          <w:iCs/>
          <w:sz w:val="24"/>
          <w:szCs w:val="24"/>
          <w:lang w:eastAsia="ar-SA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главного управляющего директора - руководителя обособленного структурного подразделения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Коротаева</w:t>
      </w:r>
      <w:r>
        <w:rPr>
          <w:rFonts w:ascii="Times New Roman" w:hAnsi="Times New Roman" w:cs="Times New Roman"/>
          <w:b/>
          <w:sz w:val="24"/>
          <w:szCs w:val="24"/>
        </w:rPr>
        <w:t xml:space="preserve"> Максима Александровича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от 12.05.2023 №37, 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именуемое в дальнейшем </w:t>
      </w:r>
      <w:r>
        <w:rPr>
          <w:rFonts w:ascii="Times New Roman" w:hAnsi="Times New Roman" w:eastAsia="SimSun" w:cs="Times New Roman"/>
          <w:b/>
          <w:sz w:val="24"/>
          <w:szCs w:val="24"/>
          <w:lang w:eastAsia="ar-SA"/>
        </w:rPr>
        <w:t xml:space="preserve">«Концессионер»,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 с другой стороны </w:t>
      </w:r>
      <w:r>
        <w:rPr>
          <w:rFonts w:asciiTheme="majorBidi" w:hAnsiTheme="majorBidi" w:cstheme="majorBidi"/>
          <w:iCs/>
          <w:sz w:val="24"/>
          <w:szCs w:val="24"/>
        </w:rPr>
        <w:t xml:space="preserve">составили настоящий акт об исполнении мероприятий, </w:t>
      </w:r>
      <w:r>
        <w:rPr>
          <w:rFonts w:asciiTheme="majorBidi" w:hAnsiTheme="majorBidi" w:cstheme="majorBidi"/>
          <w:iCs/>
          <w:sz w:val="24"/>
          <w:szCs w:val="24"/>
        </w:rPr>
        <w:t xml:space="preserve">предусмотренных Концессионным соглашением в отношении объектов холодного водоснабжения и водоотведения, отдельных объектов таких систем муниципального образования город Нижневартовск от 29.07.2020 № 4 (далее – Концессионное соглашение), инвестиционной программой концессионера</w:t>
      </w:r>
      <w:r>
        <w:rPr>
          <w:rFonts w:asciiTheme="majorBidi" w:hAnsiTheme="majorBidi" w:cstheme="majorBidi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</w:rPr>
        <w:t xml:space="preserve">по развитию централизованной системы холодного водоснабжения и водоотведения муниципального образования город Нижневартовск на 2024-2028 годы</w:t>
      </w:r>
      <w:r>
        <w:rPr>
          <w:rFonts w:asciiTheme="majorBidi" w:hAnsiTheme="majorBidi" w:cstheme="majorBidi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</w:rPr>
        <w:t xml:space="preserve">:</w:t>
      </w:r>
    </w:p>
    <w:p>
      <w:pPr>
        <w:pStyle w:val="af0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1. Проверка исполнения Концессионером условий Концессионного соглашения </w:t>
      </w:r>
      <w:r>
        <w:rPr>
          <w:iCs/>
        </w:rPr>
        <w:br/>
        <w:t xml:space="preserve">и использования </w:t>
      </w:r>
      <w:r>
        <w:rPr>
          <w:iCs/>
          <w:color w:val="000000" w:themeColor="text1"/>
        </w:rPr>
        <w:t xml:space="preserve">муниципального имущества – объекта Концессионного соглашения проведена в срок с </w:t>
      </w:r>
      <w:r>
        <w:rPr>
          <w:iCs/>
        </w:rPr>
        <w:t xml:space="preserve">09</w:t>
      </w:r>
      <w:r>
        <w:rPr>
          <w:iCs/>
        </w:rPr>
        <w:t xml:space="preserve">.0</w:t>
      </w:r>
      <w:r>
        <w:rPr>
          <w:iCs/>
        </w:rPr>
        <w:t xml:space="preserve">4</w:t>
      </w:r>
      <w:r>
        <w:rPr>
          <w:iCs/>
        </w:rPr>
        <w:t xml:space="preserve">.202</w:t>
      </w:r>
      <w:r>
        <w:rPr>
          <w:iCs/>
        </w:rPr>
        <w:t xml:space="preserve">5</w:t>
      </w:r>
      <w:r>
        <w:rPr>
          <w:iCs/>
        </w:rPr>
        <w:t xml:space="preserve"> по </w:t>
      </w:r>
      <w:r>
        <w:rPr>
          <w:iCs/>
        </w:rPr>
        <w:t xml:space="preserve">07</w:t>
      </w:r>
      <w:r>
        <w:rPr>
          <w:iCs/>
        </w:rPr>
        <w:t xml:space="preserve">.0</w:t>
      </w:r>
      <w:r>
        <w:rPr>
          <w:iCs/>
        </w:rPr>
        <w:t xml:space="preserve">5</w:t>
      </w:r>
      <w:r>
        <w:rPr>
          <w:iCs/>
        </w:rPr>
        <w:t xml:space="preserve">.202</w:t>
      </w:r>
      <w:r>
        <w:rPr>
          <w:iCs/>
        </w:rPr>
        <w:t xml:space="preserve">5</w:t>
      </w:r>
      <w:r>
        <w:rPr>
          <w:iCs/>
        </w:rPr>
        <w:t xml:space="preserve">.</w:t>
      </w:r>
    </w:p>
    <w:p>
      <w:pPr>
        <w:pStyle w:val="af0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2. Проверяемый период </w:t>
      </w:r>
      <w:r>
        <w:rPr>
          <w:iCs/>
        </w:rPr>
        <w:t xml:space="preserve">2024 </w:t>
      </w:r>
      <w:r>
        <w:rPr>
          <w:iCs/>
        </w:rPr>
        <w:t xml:space="preserve">год.</w:t>
      </w:r>
    </w:p>
    <w:p>
      <w:pPr>
        <w:pStyle w:val="af0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3. Цель: контроль за соблюдением </w:t>
      </w:r>
      <w:r>
        <w:rPr>
          <w:lang w:eastAsia="ar-SA"/>
        </w:rPr>
        <w:t xml:space="preserve">Концессионером</w:t>
      </w:r>
      <w:r>
        <w:rPr>
          <w:iCs/>
        </w:rPr>
        <w:t xml:space="preserve"> условий Концессионного </w:t>
      </w:r>
      <w:bookmarkEnd w:id="0"/>
      <w:r>
        <w:rPr>
          <w:iCs/>
        </w:rPr>
        <w:t xml:space="preserve">соглашения, в том числе по осуществлению инвестиций в реконструкцию Объекта соглашения, осуществлению деятельности, предусмотренной Концессионным соглашением, использованию (эксплуатации) Объекта соглашения и Иного имущества, проверка наличия и сохранности муниципального имущества – Объекта соглашения и Иного имущества. </w:t>
      </w:r>
    </w:p>
    <w:p>
      <w:pPr>
        <w:pStyle w:val="af0"/>
        <w:spacing w:before="280" w:beforeAutospacing="0" w:after="0" w:afterAutospacing="0"/>
        <w:ind w:firstLine="709"/>
        <w:contextualSpacing/>
        <w:jc w:val="both"/>
        <w:rPr>
          <w:b/>
          <w:iCs/>
        </w:rPr>
      </w:pPr>
    </w:p>
    <w:p>
      <w:pPr>
        <w:pStyle w:val="af0"/>
        <w:spacing w:before="280" w:beforeAutospacing="0" w:after="0" w:afterAutospacing="0"/>
        <w:ind w:firstLine="709"/>
        <w:contextualSpacing/>
        <w:jc w:val="both"/>
        <w:rPr>
          <w:b/>
          <w:iCs/>
        </w:rPr>
      </w:pPr>
      <w:r>
        <w:rPr>
          <w:b/>
          <w:iCs/>
        </w:rPr>
        <w:t xml:space="preserve">Заключение:</w:t>
      </w:r>
    </w:p>
    <w:p>
      <w:pPr>
        <w:pStyle w:val="af0"/>
        <w:spacing w:before="280" w:beforeAutospacing="0" w:after="0" w:afterAutospacing="0"/>
        <w:ind w:firstLine="709"/>
        <w:contextualSpacing/>
        <w:jc w:val="both"/>
        <w:rPr>
          <w:rFonts w:cstheme="majorBidi"/>
          <w:iCs/>
          <w:shd w:val="clear" w:color="auto" w:fill="ffffff"/>
        </w:rPr>
      </w:pPr>
      <w:r>
        <w:rPr>
          <w:iCs/>
        </w:rPr>
        <w:t xml:space="preserve">1. Стороны подтверждают </w:t>
      </w:r>
      <w:r>
        <w:rPr>
          <w:b/>
          <w:iCs/>
        </w:rPr>
        <w:t xml:space="preserve">полное</w:t>
      </w:r>
      <w:r>
        <w:rPr>
          <w:b/>
          <w:iCs/>
        </w:rPr>
        <w:t xml:space="preserve">/</w:t>
      </w:r>
      <w:r>
        <w:rPr>
          <w:b/>
          <w:iCs/>
          <w:strike/>
        </w:rPr>
        <w:t xml:space="preserve">частичное</w:t>
      </w:r>
      <w:r>
        <w:rPr>
          <w:iCs/>
        </w:rPr>
        <w:t xml:space="preserve"> выполнение Концессионером мероприятия, предусмотренного Концессионным соглашением, </w:t>
      </w:r>
      <w:r>
        <w:rPr>
          <w:rFonts w:cstheme="majorBidi"/>
          <w:iCs/>
          <w:shd w:val="clear" w:color="auto" w:fill="ffffff"/>
        </w:rPr>
        <w:t xml:space="preserve">инвестиционной программой Концессионера: </w:t>
      </w:r>
    </w:p>
    <w:p>
      <w:pPr>
        <w:pStyle w:val="af0"/>
        <w:spacing w:before="280" w:beforeAutospacing="0" w:after="0" w:afterAutospacing="0"/>
        <w:ind w:firstLine="709"/>
        <w:contextualSpacing/>
        <w:jc w:val="both"/>
        <w:rPr>
          <w:rFonts w:cstheme="majorBidi"/>
          <w:iCs/>
          <w:shd w:val="clear" w:color="auto" w:fill="ffffff"/>
        </w:rPr>
      </w:pPr>
    </w:p>
    <w:tbl>
      <w:tblPr>
        <w:tblW w:w="10196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2268"/>
        <w:gridCol w:w="1137"/>
        <w:gridCol w:w="1273"/>
        <w:gridCol w:w="1276"/>
        <w:gridCol w:w="1276"/>
        <w:gridCol w:w="1236"/>
        <w:gridCol w:w="1173"/>
      </w:tblGrid>
      <w:tr>
        <w:trPr>
          <w:jc w:val="center"/>
          <w:trHeight w:val="572"/>
        </w:trPr>
        <w:tc>
          <w:tcPr>
            <w:tcW w:w="5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№ п/п</w:t>
            </w:r>
          </w:p>
        </w:tc>
        <w:tc>
          <w:tcPr>
            <w:tcW w:w="22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Наименование мероприятий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Дата реализации мероприятий 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Объём выполнения мероприятий за 202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г.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выполнения мероприятий с 2020 по 202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годы (нарастающим итогом)</w:t>
            </w: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Общий объем мероприятий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 2048 года в соответствии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 КС</w:t>
            </w:r>
          </w:p>
        </w:tc>
      </w:tr>
      <w:tr>
        <w:trPr>
          <w:jc w:val="center"/>
          <w:trHeight w:val="671"/>
        </w:trPr>
        <w:tc>
          <w:tcPr>
            <w:tcW w:w="5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соответствии с условиями КС/ИП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выполнения (дата подписания акта приемки выполненных работ)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соответствии с условиями КС/ИП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выполнения мероприятий</w:t>
            </w: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</w:t>
            </w:r>
          </w:p>
        </w:tc>
      </w:tr>
      <w:tr>
        <w:trPr>
          <w:jc w:val="center"/>
          <w:trHeight w:val="228"/>
        </w:trPr>
        <w:tc>
          <w:tcPr>
            <w:tcW w:w="101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Мероприятия в сфере холодного водоснабжения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  <w:t xml:space="preserve">1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Реконструкция сетей водоснабжения 150мм&lt;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Ду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&lt;600мм (в том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числе проектно-изыскательские и строительно-монтажные работы) (п. 1.1.2 КС, п. 3.1.2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31.12.2049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234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301,25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739,04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14 906,8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.1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Участок сети от УТ-2-58 до ЦТП-5 (9/2) 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(входит в состав участка "Участок сети холодного водоснабжения от Уз .58 до ЦТП 5 (ЦТП 9/2) по ул. 60 лет Октября №42, стр.2")</w:t>
            </w:r>
          </w:p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 3.1.2.3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08.11.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121,7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116,38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116,38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116,38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.2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Участок сети холодного водоснабжения от ТК-8 до ТК-7 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 3.1.2.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1.12.2024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08.11.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50,3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57,97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57,97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57,97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.3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Участок сети водоснабжения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от  ж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/д по ул. Мира.6 до ТК16 - до жилого дома по ул. Мира,6а;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Участок сети водоснабжения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от  ж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/д по ул. Мира.6а до жилого дома по ул. Мира,4а;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Участок сети водоснабжения от  ж/д по ул. Мира.6а до жилого дома по ул. Мира,8а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 3.1.2.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08.11.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126,9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126,9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126,9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  <w:t xml:space="preserve"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Реконструкция сетей водоснабжения Ду≤150мм (в том числе проектно-изыскательские и строительно-монтажные работы)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(п. 1.1.3 КС, п.3.1.3. ИП)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31.12.2049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241,6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257,33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1463,27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25 590,04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от УТ44 до ж/д20 (Дзержинского, 25) 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(Участок сети холодного водоснабжения от УТ44 до жилого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дома  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(Дзержинского, 25) 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(п.3.1.3.9 ИП)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08.11.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13,1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13,05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13,05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13,1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582"/>
        </w:trPr>
        <w:tc>
          <w:tcPr>
            <w:tcW w:w="5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от УТ-5 до д/с 29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(д/с №62 ул. Др. Народов, 14б).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08.11.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17,3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26,65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26,65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26,65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</w:tr>
      <w:tr>
        <w:trPr>
          <w:jc w:val="center"/>
          <w:trHeight w:val="1247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.3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от точки врезки в тех. подполье ж/д 28 (Др. Народов, 8) до задвижек в тех. подполье вставки 23 (Др. Народов, 8а).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08.11.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32,4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32,4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32,4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</w:tr>
      <w:tr>
        <w:trPr>
          <w:jc w:val="center"/>
          <w:trHeight w:val="154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.4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от УТ-4 до ж/д 21 (ул. Др. Народов, 10).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(Участок сети холодного водоснабжения от УТ4 до жилого дома 21 (Дружбы Народов, 10)) 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(п.3.1.3.1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20.12.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24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12,5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12,5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12,5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12,5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1245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.5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от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ТК-16А-6 до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т.А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по ул. Омская.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(ХВ от УТ5-УТ6 до школы 15)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(п.3.1.3.13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20.12.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24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66,5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70,37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70,37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70,37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.6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вдоль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ул.Дружбы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народов от д.6 до д.12, от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кам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 ТК-16-17 до дома 12а и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кам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 ТК-16-11 до дома 20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(Участок сети холодного водоснабжения от УТ11 до жил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ого дома 2 (Дружбы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Народов, 20)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20.12.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24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93,3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102,36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102,36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102,36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3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ЦТП (35 шт.) (в том числе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подготовка рабочей документации и строительно-монтажные работы)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(п. 1.2.4 КС)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31.12.20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 ед.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 ед.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ед.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35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ЦТП 10Б/3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, подготовка рабочей документации и строительно-монтажные работы)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04.10.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ЦТП 10Б/1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 w:type="page" w:clear="all"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, подготовка рабочей документации и строительно-монтажные работы)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(п.3.2.1.2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04.10.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ЦТП 7А/1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, подготовка рабочей документации и строительно-монтажные работы)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(п.3.2.1.3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04.10.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ЦТП 10Б/2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, подготовка рабочей документации и строительно-монтажные работы)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(п.3.2.1.4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04.10.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ЦТП 9/2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, подготовка рабочей документации и строительно-монтажные работы)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(п.3.2.1.5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ЦТП 15А/1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, подготовка рабочей документации и строительно-монтажные работы)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(п.3.2.1.6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ЦТП 16Б/2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, подготовка рабочей документации и строительно-монтажные работы)</w:t>
            </w:r>
          </w:p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(п.3.2.1.7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ЦТП 9/4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, подготовка рабочей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документации и строительно-монтажные работы)</w:t>
            </w:r>
          </w:p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(п.3.2.1.8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9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ЦТП 6/1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, подготовка рабочей документации и строительно-монтажные работы)</w:t>
            </w:r>
          </w:p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(п.3.2.1.9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10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ЦТП 16А/1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, подготовка рабочей документации и строительно-монтажные работы)</w:t>
            </w:r>
          </w:p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(п.3.2.1.10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101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  <w:highlight w:val="re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Мероприятия в сфере водоотведения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  <w:t xml:space="preserve">4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Реконструкция сетей водоотведения Ду≥800мм (в том числе проектно-изыскательские и строительно-монтажные работы) (п. 1.1.1 КС, п. 3.1.1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06.11.2024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1843 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1938,04 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4302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,9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4 207,95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262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"Напорный канализационный трубопровод от ГКНС-1А до Приемной камеры на территории Канализационно-очистных сооружений"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06.11.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1843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1938,04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3360,04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3360,04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</w:tbl>
    <w:p>
      <w:pPr>
        <w:pStyle w:val="af0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2. Объект, в отношении которого было проведено мероприятие, его состав и описание, включая технико-экономические показатели, </w:t>
      </w:r>
      <w:r>
        <w:rPr>
          <w:b/>
          <w:iCs/>
        </w:rPr>
        <w:t xml:space="preserve">соответствует</w:t>
      </w:r>
      <w:r>
        <w:rPr>
          <w:b/>
          <w:iCs/>
        </w:rPr>
        <w:t xml:space="preserve"> </w:t>
      </w:r>
      <w:r>
        <w:rPr>
          <w:b/>
          <w:iCs/>
        </w:rPr>
        <w:t xml:space="preserve">/</w:t>
      </w:r>
      <w:r>
        <w:rPr>
          <w:b/>
          <w:iCs/>
        </w:rPr>
        <w:t xml:space="preserve"> </w:t>
      </w:r>
      <w:r>
        <w:rPr>
          <w:b/>
          <w:iCs/>
          <w:strike/>
        </w:rPr>
        <w:t xml:space="preserve">не </w:t>
      </w:r>
      <w:r>
        <w:rPr>
          <w:b/>
          <w:iCs/>
          <w:strike/>
        </w:rPr>
        <w:t xml:space="preserve">соответствует</w:t>
      </w:r>
      <w:r>
        <w:rPr>
          <w:b/>
          <w:iCs/>
          <w:strike/>
        </w:rPr>
        <w:t xml:space="preserve">:</w:t>
      </w:r>
      <w:r>
        <w:rPr>
          <w:iCs/>
        </w:rPr>
        <w:t xml:space="preserve"> целям задания и основным мероприятиям, предусмотренным Концессионным соглашением, </w:t>
      </w:r>
      <w:r>
        <w:rPr>
          <w:rFonts w:cstheme="majorBidi"/>
          <w:iCs/>
          <w:shd w:val="clear" w:color="auto" w:fill="ffffff"/>
        </w:rPr>
        <w:t xml:space="preserve">инвестиционной программой Концессионера</w:t>
      </w:r>
      <w:r>
        <w:rPr>
          <w:iCs/>
        </w:rPr>
        <w:t xml:space="preserve">.</w:t>
      </w:r>
    </w:p>
    <w:p>
      <w:pPr>
        <w:pStyle w:val="af0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3. Концедент </w:t>
      </w:r>
      <w:r>
        <w:rPr>
          <w:b/>
          <w:iCs/>
        </w:rPr>
        <w:t xml:space="preserve">не имеет/</w:t>
      </w:r>
      <w:r>
        <w:rPr>
          <w:b/>
          <w:iCs/>
          <w:strike/>
        </w:rPr>
        <w:t xml:space="preserve">имеет</w:t>
      </w:r>
      <w:r>
        <w:rPr>
          <w:iCs/>
        </w:rPr>
        <w:t xml:space="preserve"> </w:t>
      </w:r>
      <w:r>
        <w:rPr>
          <w:iCs/>
        </w:rPr>
        <w:t xml:space="preserve">претензии к Концессионеру в части исполнения последним обязательств по срокам выполнения Мероприятий, достижению показателей надежности, качества и энергетической эффективности</w:t>
      </w:r>
      <w:r>
        <w:rPr>
          <w:iCs/>
        </w:rPr>
        <w:t xml:space="preserve">.</w:t>
      </w:r>
    </w:p>
    <w:p>
      <w:pPr>
        <w:pStyle w:val="af0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4. Мониторинг показателей надежности, качества и энергетической эффективности объектов приведен в Приложении 1 к акту, </w:t>
      </w:r>
      <w:r>
        <w:rPr>
          <w:rStyle w:val="a3"/>
          <w:rFonts w:eastAsia="Calibri"/>
          <w:b w:val="0"/>
        </w:rPr>
        <w:t xml:space="preserve">сведений, в том числе</w:t>
      </w:r>
      <w:r>
        <w:rPr>
          <w:iCs/>
        </w:rPr>
        <w:t xml:space="preserve"> </w:t>
      </w:r>
      <w:r>
        <w:t xml:space="preserve">долгосрочных параметров регулирования деятельности Концессионера – в Приложении 2 к акту, финансирования мероприятий – в Приложении 3 к акту.</w:t>
      </w:r>
    </w:p>
    <w:p>
      <w:pPr>
        <w:pStyle w:val="af0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5. Настоящий акт составлен в 2 экземплярах, имеющих равную юридическую силу, </w:t>
      </w:r>
      <w:r>
        <w:rPr>
          <w:iCs/>
        </w:rPr>
        <w:br/>
        <w:t xml:space="preserve">и вступает в силу с даты его подписания уполномоченными представителями Сторон.</w:t>
      </w:r>
    </w:p>
    <w:p>
      <w:pPr>
        <w:pStyle w:val="af0"/>
        <w:spacing w:before="280" w:beforeAutospacing="0" w:after="0" w:afterAutospacing="0"/>
        <w:jc w:val="both"/>
        <w:rPr>
          <w:iCs/>
        </w:rPr>
      </w:pPr>
    </w:p>
    <w:p>
      <w:pPr>
        <w:pStyle w:val="af0"/>
        <w:spacing w:before="280" w:beforeAutospacing="0" w:after="0" w:afterAutospacing="0"/>
        <w:jc w:val="both"/>
        <w:rPr>
          <w:iCs/>
        </w:rPr>
      </w:pPr>
    </w:p>
    <w:p>
      <w:pPr>
        <w:pStyle w:val="af0"/>
        <w:spacing w:before="280" w:beforeAutospacing="0" w:after="0" w:afterAutospacing="0"/>
        <w:jc w:val="both"/>
        <w:rPr>
          <w:iCs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250"/>
        <w:gridCol w:w="1279"/>
        <w:gridCol w:w="4252"/>
      </w:tblGrid>
      <w:tr>
        <w:tc>
          <w:tcPr>
            <w:tcW w:w="4250" w:type="dxa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Концедент:________/ Боков А.Н./</w:t>
            </w:r>
          </w:p>
        </w:tc>
        <w:tc>
          <w:tcPr>
            <w:tcW w:w="1279" w:type="dxa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Концессионер:_______/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М.А./</w:t>
            </w:r>
          </w:p>
        </w:tc>
      </w:tr>
    </w:tbl>
    <w:p>
      <w:pPr>
        <w:spacing w:after="0" w:line="240" w:lineRule="auto"/>
        <w:jc w:val="right"/>
        <w:rPr>
          <w:rStyle w:val="a3"/>
          <w:rFonts w:ascii="Times New Roman" w:hAnsi="Times New Roman" w:eastAsia="Calibri" w:cs="Times New Roman"/>
          <w:b w:val="0"/>
          <w:iCs/>
        </w:rPr>
      </w:pPr>
      <w:r>
        <w:rPr>
          <w:rStyle w:val="a3"/>
          <w:rFonts w:eastAsia="Calibri"/>
        </w:rPr>
        <w:br w:type="page" w:clear="all"/>
      </w:r>
      <w:r>
        <w:rPr>
          <w:rStyle w:val="a3"/>
          <w:rFonts w:ascii="Times New Roman" w:hAnsi="Times New Roman" w:eastAsia="Calibri" w:cs="Times New Roman"/>
        </w:rPr>
        <w:t xml:space="preserve">Приложение 1 к Акту</w:t>
      </w:r>
    </w:p>
    <w:p>
      <w:pPr>
        <w:pStyle w:val="af0"/>
        <w:spacing w:before="280" w:beforeAutospacing="0" w:after="0" w:afterAutospacing="0"/>
        <w:ind w:firstLine="709"/>
        <w:contextualSpacing/>
        <w:jc w:val="right"/>
        <w:rPr>
          <w:rStyle w:val="a3"/>
          <w:rFonts w:eastAsia="Calibri"/>
          <w:b w:val="0"/>
          <w:iCs/>
        </w:rPr>
      </w:pPr>
    </w:p>
    <w:p>
      <w:pPr>
        <w:pStyle w:val="af0"/>
        <w:spacing w:before="280" w:beforeAutospacing="0" w:after="0" w:afterAutospacing="0"/>
        <w:contextualSpacing/>
        <w:jc w:val="center"/>
        <w:rPr>
          <w:rStyle w:val="a3"/>
          <w:rFonts w:eastAsia="Calibri"/>
        </w:rPr>
      </w:pPr>
      <w:r>
        <w:rPr>
          <w:rStyle w:val="a3"/>
          <w:rFonts w:eastAsia="Calibri"/>
        </w:rPr>
        <w:t xml:space="preserve">Мониторинг показателей надежности, качества и энергетической эффективности Объекта соглашения </w:t>
      </w:r>
      <w:bookmarkStart w:id="1" w:name="_Hlk517860760"/>
    </w:p>
    <w:p>
      <w:pPr>
        <w:pStyle w:val="af0"/>
        <w:spacing w:before="280" w:beforeAutospacing="0" w:after="0" w:afterAutospacing="0"/>
        <w:contextualSpacing/>
        <w:jc w:val="center"/>
        <w:rPr>
          <w:rStyle w:val="a3"/>
          <w:rFonts w:eastAsia="Calibri"/>
          <w:b w:val="0"/>
          <w:iCs/>
        </w:rPr>
      </w:pPr>
      <w:r>
        <w:rPr>
          <w:rStyle w:val="a3"/>
          <w:rFonts w:eastAsia="Calibri"/>
        </w:rPr>
        <w:t xml:space="preserve">за период </w:t>
      </w:r>
      <w:bookmarkEnd w:id="1"/>
      <w:r>
        <w:rPr>
          <w:rStyle w:val="a3"/>
          <w:rFonts w:eastAsia="Calibri"/>
        </w:rPr>
        <w:t xml:space="preserve">202</w:t>
      </w:r>
      <w:r>
        <w:rPr>
          <w:rStyle w:val="a3"/>
          <w:rFonts w:eastAsia="Calibri"/>
          <w:lang w:val="en-US"/>
        </w:rPr>
        <w:t xml:space="preserve">4</w:t>
      </w:r>
      <w:r>
        <w:rPr>
          <w:rStyle w:val="a3"/>
          <w:rFonts w:eastAsia="Calibri"/>
        </w:rPr>
        <w:t xml:space="preserve"> г.</w:t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a"/>
        <w:tblW w:w="9324" w:type="dxa"/>
        <w:tblLayout w:type="fixed"/>
        <w:tblLook w:val="04A0" w:firstRow="1" w:lastRow="0" w:firstColumn="1" w:lastColumn="0" w:noHBand="0" w:noVBand="1"/>
      </w:tblPr>
      <w:tblGrid>
        <w:gridCol w:w="534"/>
        <w:gridCol w:w="5810"/>
        <w:gridCol w:w="993"/>
        <w:gridCol w:w="993"/>
        <w:gridCol w:w="994"/>
      </w:tblGrid>
      <w:tr>
        <w:tc>
          <w:tcPr>
            <w:tcW w:w="534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№ п/п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Наименование показателя*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Ед.</w:t>
            </w:r>
          </w:p>
          <w:p>
            <w:pPr>
              <w:widowControl w:val="off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измерения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План</w:t>
            </w:r>
          </w:p>
        </w:tc>
        <w:tc>
          <w:tcPr>
            <w:tcW w:w="994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Факт</w:t>
            </w:r>
          </w:p>
        </w:tc>
      </w:tr>
      <w:tr>
        <w:tc>
          <w:tcPr>
            <w:tcW w:w="9324" w:type="dxa"/>
            <w:gridSpan w:val="5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 xml:space="preserve">Водоснабжение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1.</w:t>
            </w:r>
          </w:p>
        </w:tc>
        <w:tc>
          <w:tcPr>
            <w:tcW w:w="6803" w:type="dxa"/>
            <w:gridSpan w:val="2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Показатели надежности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1.1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для централизованных систем холодного водоснабжения - 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ед./км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0,02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0,002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2.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Показатели качества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2.1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2.2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0,41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0,03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3.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Показатели энергетической эффективности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bookmarkStart w:id="2" w:name="_Hlk163735090"/>
            <w:r>
              <w:rPr>
                <w:rFonts w:ascii="Times New Roman" w:hAnsi="Times New Roman" w:eastAsia="Calibri" w:cs="Times New Roman"/>
              </w:rPr>
              <w:t xml:space="preserve">3.1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lang w:val="en-US"/>
              </w:rPr>
              <w:t xml:space="preserve">8</w:t>
            </w:r>
            <w:r>
              <w:rPr>
                <w:rFonts w:ascii="Times New Roman" w:hAnsi="Times New Roman" w:eastAsia="Calibri" w:cs="Times New Roman"/>
              </w:rPr>
              <w:t xml:space="preserve">,</w:t>
            </w:r>
            <w:r>
              <w:rPr>
                <w:rFonts w:ascii="Times New Roman" w:hAnsi="Times New Roman" w:eastAsia="Calibri" w:cs="Times New Roman"/>
                <w:lang w:val="en-US"/>
              </w:rPr>
              <w:t xml:space="preserve">96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val="en-US"/>
              </w:rPr>
              <w:t xml:space="preserve">8</w:t>
            </w:r>
            <w:r>
              <w:rPr>
                <w:rFonts w:ascii="Times New Roman" w:hAnsi="Times New Roman" w:eastAsia="Calibri" w:cs="Times New Roman"/>
              </w:rPr>
              <w:t xml:space="preserve">,</w:t>
            </w:r>
            <w:r>
              <w:rPr>
                <w:rFonts w:ascii="Times New Roman" w:hAnsi="Times New Roman" w:eastAsia="Calibri" w:cs="Times New Roman"/>
                <w:lang w:val="en-US"/>
              </w:rPr>
              <w:t xml:space="preserve">96</w:t>
            </w:r>
          </w:p>
        </w:tc>
      </w:tr>
      <w:bookmarkEnd w:id="2"/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3.2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удельный расход электрической энергии в расчете на единицу поданной в сеть воды, в том числе: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кВтч</w:t>
            </w:r>
            <w:r>
              <w:rPr>
                <w:rFonts w:ascii="Times New Roman" w:hAnsi="Times New Roman" w:eastAsia="Calibri" w:cs="Times New Roman"/>
              </w:rPr>
              <w:t xml:space="preserve">/ м3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3.2</w:t>
            </w:r>
            <w:r>
              <w:rPr>
                <w:rFonts w:ascii="Times New Roman" w:hAnsi="Times New Roman" w:eastAsia="Calibri" w:cs="Times New Roman"/>
              </w:rPr>
              <w:t xml:space="preserve">.1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удельный расход электрической энергии, потребляемой в технологическом процессе подготовки питьевой воды, на </w:t>
            </w:r>
            <w:r>
              <w:rPr>
                <w:rFonts w:ascii="Times New Roman" w:hAnsi="Times New Roman" w:eastAsia="Calibri" w:cs="Times New Roman"/>
              </w:rPr>
              <w:t xml:space="preserve">единицу объема воды, отпускаемой в сеть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кВтч</w:t>
            </w:r>
            <w:r>
              <w:rPr>
                <w:rFonts w:ascii="Times New Roman" w:hAnsi="Times New Roman" w:eastAsia="Calibri" w:cs="Times New Roman"/>
              </w:rPr>
              <w:t xml:space="preserve">/ </w:t>
            </w:r>
            <w:r>
              <w:rPr>
                <w:rFonts w:ascii="Times New Roman" w:hAnsi="Times New Roman" w:eastAsia="Calibri" w:cs="Times New Roman"/>
              </w:rPr>
              <w:t xml:space="preserve">м3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0,87</w:t>
            </w:r>
            <w:r>
              <w:rPr>
                <w:rFonts w:ascii="Times New Roman" w:hAnsi="Times New Roman" w:eastAsia="Calibri" w:cs="Times New Roman"/>
              </w:rPr>
              <w:t xml:space="preserve">6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</w:rPr>
              <w:t xml:space="preserve">0,7</w:t>
            </w:r>
            <w:r>
              <w:rPr>
                <w:rFonts w:ascii="Times New Roman" w:hAnsi="Times New Roman" w:eastAsia="Calibri" w:cs="Times New Roman"/>
                <w:lang w:val="en-US"/>
              </w:rPr>
              <w:t xml:space="preserve">65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3.2.2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кВтч</w:t>
            </w:r>
            <w:r>
              <w:rPr>
                <w:rFonts w:ascii="Times New Roman" w:hAnsi="Times New Roman" w:eastAsia="Calibri" w:cs="Times New Roman"/>
              </w:rPr>
              <w:t xml:space="preserve">/ м3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0,138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0,117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790" w:type="dxa"/>
            <w:gridSpan w:val="4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 xml:space="preserve">Водоотведение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1.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Показатели надежности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1.1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ед./км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4,68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4,</w:t>
            </w:r>
            <w:r>
              <w:rPr>
                <w:rFonts w:ascii="Times New Roman" w:hAnsi="Times New Roman" w:eastAsia="Calibri" w:cs="Times New Roman"/>
              </w:rPr>
              <w:t xml:space="preserve">07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2.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Показатели качества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2.1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2.2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2.3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100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lang w:val="en-US"/>
              </w:rPr>
              <w:t xml:space="preserve">30,95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3.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Показатели энергетической эффективности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3.1</w:t>
            </w:r>
          </w:p>
        </w:tc>
        <w:tc>
          <w:tcPr>
            <w:tcW w:w="5810" w:type="dxa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удельный расход электрической энергии в расчете на единицу принятых сточных вод, в том числе: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кВтч</w:t>
            </w:r>
            <w:r>
              <w:rPr>
                <w:rFonts w:ascii="Times New Roman" w:hAnsi="Times New Roman" w:eastAsia="Calibri" w:cs="Times New Roman"/>
              </w:rPr>
              <w:t xml:space="preserve">/ м3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3.1.1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кВтч</w:t>
            </w:r>
            <w:r>
              <w:rPr>
                <w:rFonts w:ascii="Times New Roman" w:hAnsi="Times New Roman" w:eastAsia="Calibri" w:cs="Times New Roman"/>
              </w:rPr>
              <w:t xml:space="preserve">/ м3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</w:t>
            </w:r>
            <w:r>
              <w:rPr>
                <w:rFonts w:ascii="Times New Roman" w:hAnsi="Times New Roman" w:eastAsia="Calibri" w:cs="Times New Roman"/>
              </w:rPr>
              <w:t xml:space="preserve">747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0,7</w:t>
            </w:r>
            <w:r>
              <w:rPr>
                <w:rFonts w:ascii="Times New Roman" w:hAnsi="Times New Roman" w:eastAsia="Calibri" w:cs="Times New Roman"/>
              </w:rPr>
              <w:t xml:space="preserve">10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3.1.2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кВтч</w:t>
            </w:r>
            <w:r>
              <w:rPr>
                <w:rFonts w:ascii="Times New Roman" w:hAnsi="Times New Roman" w:eastAsia="Calibri" w:cs="Times New Roman"/>
              </w:rPr>
              <w:t xml:space="preserve">/ м3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0,242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0,2</w:t>
            </w:r>
            <w:r>
              <w:rPr>
                <w:rFonts w:ascii="Times New Roman" w:hAnsi="Times New Roman" w:eastAsia="Calibri" w:cs="Times New Roman"/>
              </w:rPr>
              <w:t xml:space="preserve">39</w:t>
            </w:r>
          </w:p>
        </w:tc>
      </w:tr>
    </w:tbl>
    <w:p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*Примечание: </w:t>
      </w:r>
      <w:r>
        <w:rPr>
          <w:rFonts w:ascii="Times New Roman" w:hAnsi="Times New Roman" w:cs="Times New Roman"/>
          <w:sz w:val="20"/>
          <w:szCs w:val="20"/>
        </w:rPr>
        <w:t xml:space="preserve">значения рассчитываются в соответствии с приказом Минстроя России от 04.04.2014                             № 162/</w:t>
      </w:r>
      <w:r>
        <w:rPr>
          <w:rFonts w:ascii="Times New Roman" w:hAnsi="Times New Roman" w:cs="Times New Roman"/>
          <w:sz w:val="20"/>
          <w:szCs w:val="20"/>
        </w:rPr>
        <w:t xml:space="preserve">пр</w:t>
      </w:r>
      <w:r>
        <w:rPr>
          <w:rFonts w:ascii="Times New Roman" w:hAnsi="Times New Roman" w:cs="Times New Roman"/>
          <w:sz w:val="20"/>
          <w:szCs w:val="20"/>
        </w:rPr>
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показателей».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f0"/>
        <w:spacing w:before="280" w:beforeAutospacing="0" w:after="0" w:afterAutospacing="0"/>
        <w:contextualSpacing/>
        <w:rPr>
          <w:rStyle w:val="a3"/>
          <w:rFonts w:eastAsia="Calibri"/>
        </w:rPr>
      </w:pPr>
    </w:p>
    <w:p>
      <w:pPr>
        <w:pStyle w:val="af0"/>
        <w:spacing w:before="280" w:beforeAutospacing="0" w:after="0" w:afterAutospacing="0"/>
        <w:contextualSpacing/>
        <w:rPr>
          <w:rStyle w:val="a3"/>
          <w:rFonts w:eastAsia="Calibri"/>
        </w:rPr>
      </w:pPr>
    </w:p>
    <w:p>
      <w:pPr>
        <w:spacing w:after="160" w:line="259" w:lineRule="auto"/>
        <w:rPr>
          <w:rStyle w:val="a3"/>
          <w:rFonts w:ascii="Times New Roman" w:hAnsi="Times New Roman" w:eastAsia="Calibri" w:cs="Times New Roman"/>
          <w:sz w:val="24"/>
          <w:szCs w:val="24"/>
          <w:lang w:eastAsia="ru-RU"/>
        </w:rPr>
      </w:pPr>
      <w:r>
        <w:br w:type="page" w:clear="all"/>
      </w:r>
    </w:p>
    <w:p>
      <w:pPr>
        <w:pStyle w:val="af0"/>
        <w:spacing w:before="280" w:beforeAutospacing="0" w:after="0" w:afterAutospacing="0"/>
        <w:ind w:firstLine="709"/>
        <w:contextualSpacing/>
        <w:jc w:val="right"/>
        <w:rPr>
          <w:rStyle w:val="a3"/>
          <w:rFonts w:eastAsia="Calibri"/>
          <w:b w:val="0"/>
          <w:iCs/>
        </w:rPr>
      </w:pPr>
      <w:r>
        <w:rPr>
          <w:rStyle w:val="a3"/>
          <w:rFonts w:eastAsia="Calibri"/>
        </w:rPr>
        <w:t xml:space="preserve">Приложение 2 к Акту </w:t>
      </w:r>
    </w:p>
    <w:p>
      <w:pPr>
        <w:pStyle w:val="af0"/>
        <w:spacing w:before="280" w:beforeAutospacing="0" w:after="0" w:afterAutospacing="0"/>
        <w:ind w:firstLine="709"/>
        <w:contextualSpacing/>
        <w:jc w:val="center"/>
        <w:rPr>
          <w:rStyle w:val="a3"/>
          <w:rFonts w:eastAsia="Calibri"/>
          <w:b w:val="0"/>
          <w:iCs/>
        </w:rPr>
      </w:pPr>
    </w:p>
    <w:p>
      <w:pPr>
        <w:pStyle w:val="af0"/>
        <w:spacing w:before="280" w:beforeAutospacing="0" w:after="0" w:afterAutospacing="0"/>
        <w:contextualSpacing/>
        <w:jc w:val="center"/>
        <w:rPr>
          <w:rStyle w:val="a3"/>
          <w:b w:val="0"/>
          <w:bCs w:val="0"/>
        </w:rPr>
      </w:pPr>
      <w:r>
        <w:rPr>
          <w:rStyle w:val="a3"/>
          <w:rFonts w:eastAsia="Calibri"/>
        </w:rPr>
        <w:t xml:space="preserve">Мониторинг сведений, в том числе </w:t>
      </w:r>
      <w:r>
        <w:rPr>
          <w:b/>
          <w:bCs/>
        </w:rPr>
        <w:t xml:space="preserve">долгосрочных параметров регулирования деятельности Концессионера</w:t>
      </w:r>
      <w:r>
        <w:t xml:space="preserve"> </w:t>
      </w:r>
      <w:r>
        <w:rPr>
          <w:rStyle w:val="a3"/>
          <w:rFonts w:eastAsia="Calibri"/>
        </w:rPr>
        <w:t xml:space="preserve">по Концессионному соглашению </w:t>
      </w:r>
    </w:p>
    <w:p>
      <w:pPr>
        <w:pStyle w:val="af0"/>
        <w:spacing w:before="280" w:beforeAutospacing="0" w:after="0" w:afterAutospacing="0"/>
        <w:contextualSpacing/>
        <w:jc w:val="center"/>
        <w:rPr>
          <w:rStyle w:val="a3"/>
          <w:b w:val="0"/>
          <w:bCs w:val="0"/>
        </w:rPr>
      </w:pPr>
      <w:r>
        <w:rPr>
          <w:rStyle w:val="a3"/>
          <w:rFonts w:eastAsia="Calibri"/>
        </w:rPr>
        <w:t xml:space="preserve">за период 2024 г.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5545"/>
        <w:gridCol w:w="1254"/>
        <w:gridCol w:w="1325"/>
        <w:gridCol w:w="1276"/>
      </w:tblGrid>
      <w:tr>
        <w:trPr>
          <w:jc w:val="center"/>
          <w:trHeight w:val="606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№ п/п</w:t>
            </w:r>
          </w:p>
        </w:tc>
        <w:tc>
          <w:tcPr>
            <w:tcW w:w="5545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Наименование показателя</w:t>
            </w:r>
          </w:p>
        </w:tc>
        <w:tc>
          <w:tcPr>
            <w:tcW w:w="1254" w:type="dxa"/>
          </w:tcPr>
          <w:p>
            <w:pPr>
              <w:widowControl w:val="off"/>
              <w:spacing w:after="0" w:line="288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Ед.</w:t>
            </w:r>
          </w:p>
          <w:p>
            <w:pPr>
              <w:widowControl w:val="off"/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измерения</w:t>
            </w:r>
          </w:p>
        </w:tc>
        <w:tc>
          <w:tcPr>
            <w:tcW w:w="1325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План</w:t>
            </w:r>
          </w:p>
        </w:tc>
        <w:tc>
          <w:tcPr>
            <w:tcW w:w="1276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Факт</w:t>
            </w:r>
          </w:p>
        </w:tc>
      </w:tr>
      <w:tr>
        <w:trPr>
          <w:jc w:val="center"/>
        </w:trPr>
        <w:tc>
          <w:tcPr>
            <w:tcW w:w="9918" w:type="dxa"/>
            <w:gridSpan w:val="5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Водоснабжение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1.</w:t>
            </w:r>
          </w:p>
        </w:tc>
        <w:tc>
          <w:tcPr>
            <w:tcW w:w="5545" w:type="dxa"/>
            <w:shd w:val="clear" w:color="auto" w:fill="auto"/>
            <w:vAlign w:val="center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Базовый уровень операционных расходов на первый год долгосрочного периода регулирования (операционные расходы на следующие годы, за первым годом долгосрочного периода регулирования)</w:t>
            </w:r>
          </w:p>
        </w:tc>
        <w:tc>
          <w:tcPr>
            <w:tcW w:w="1254" w:type="dxa"/>
            <w:shd w:val="clear" w:color="auto" w:fill="auto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тыс. руб. без НДС</w:t>
            </w:r>
          </w:p>
        </w:tc>
        <w:tc>
          <w:tcPr>
            <w:tcW w:w="1325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448 644</w:t>
            </w:r>
          </w:p>
        </w:tc>
        <w:tc>
          <w:tcPr>
            <w:tcW w:w="1276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442 971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2.</w:t>
            </w:r>
          </w:p>
        </w:tc>
        <w:tc>
          <w:tcPr>
            <w:tcW w:w="5545" w:type="dxa"/>
            <w:shd w:val="clear" w:color="auto" w:fill="auto"/>
            <w:vAlign w:val="center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Индекс эффективности операционных расходов</w:t>
            </w:r>
          </w:p>
        </w:tc>
        <w:tc>
          <w:tcPr>
            <w:tcW w:w="1254" w:type="dxa"/>
            <w:shd w:val="clear" w:color="auto" w:fill="auto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%</w:t>
            </w:r>
          </w:p>
        </w:tc>
        <w:tc>
          <w:tcPr>
            <w:tcW w:w="1325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0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0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3.</w:t>
            </w:r>
          </w:p>
        </w:tc>
        <w:tc>
          <w:tcPr>
            <w:tcW w:w="5545" w:type="dxa"/>
            <w:shd w:val="clear" w:color="auto" w:fill="auto"/>
            <w:vAlign w:val="center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Нормативный уровень прибыли</w:t>
            </w:r>
          </w:p>
        </w:tc>
        <w:tc>
          <w:tcPr>
            <w:tcW w:w="1254" w:type="dxa"/>
            <w:shd w:val="clear" w:color="auto" w:fill="auto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тыс. руб. без НДС</w:t>
            </w:r>
          </w:p>
        </w:tc>
        <w:tc>
          <w:tcPr>
            <w:tcW w:w="1325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4 583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2 885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3.1.</w:t>
            </w:r>
          </w:p>
        </w:tc>
        <w:tc>
          <w:tcPr>
            <w:tcW w:w="5545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То же самое</w:t>
            </w:r>
          </w:p>
        </w:tc>
        <w:tc>
          <w:tcPr>
            <w:tcW w:w="1254" w:type="dxa"/>
            <w:shd w:val="clear" w:color="auto" w:fill="auto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%</w:t>
            </w:r>
          </w:p>
        </w:tc>
        <w:tc>
          <w:tcPr>
            <w:tcW w:w="1325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0,67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0,37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4.</w:t>
            </w:r>
          </w:p>
        </w:tc>
        <w:tc>
          <w:tcPr>
            <w:tcW w:w="5545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Сумма валовой выручки</w:t>
            </w:r>
          </w:p>
        </w:tc>
        <w:tc>
          <w:tcPr>
            <w:tcW w:w="1254" w:type="dxa"/>
            <w:shd w:val="clear" w:color="auto" w:fill="auto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тыс. руб. без НДС</w:t>
            </w:r>
          </w:p>
        </w:tc>
        <w:tc>
          <w:tcPr>
            <w:tcW w:w="1325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727 350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712 833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5.</w:t>
            </w:r>
          </w:p>
        </w:tc>
        <w:tc>
          <w:tcPr>
            <w:tcW w:w="5545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Изменение суммы валовой выручки к предыдущему году</w:t>
            </w:r>
          </w:p>
        </w:tc>
        <w:tc>
          <w:tcPr>
            <w:tcW w:w="1254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</w:t>
            </w:r>
          </w:p>
        </w:tc>
        <w:tc>
          <w:tcPr>
            <w:tcW w:w="1325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+5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%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+5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%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6.</w:t>
            </w:r>
          </w:p>
        </w:tc>
        <w:tc>
          <w:tcPr>
            <w:tcW w:w="5545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Объем отпуска воды</w:t>
            </w:r>
          </w:p>
        </w:tc>
        <w:tc>
          <w:tcPr>
            <w:tcW w:w="1254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тыс. м3</w:t>
            </w:r>
          </w:p>
        </w:tc>
        <w:tc>
          <w:tcPr>
            <w:tcW w:w="1325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15 413</w:t>
            </w:r>
          </w:p>
        </w:tc>
        <w:tc>
          <w:tcPr>
            <w:tcW w:w="1276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14 926</w:t>
            </w:r>
          </w:p>
        </w:tc>
      </w:tr>
      <w:tr>
        <w:trPr>
          <w:jc w:val="center"/>
        </w:trPr>
        <w:tc>
          <w:tcPr>
            <w:tcW w:w="9918" w:type="dxa"/>
            <w:gridSpan w:val="5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Справочно</w:t>
            </w:r>
            <w:r>
              <w:rPr>
                <w:rFonts w:ascii="Times New Roman" w:hAnsi="Times New Roman" w:eastAsia="Calibri" w:cs="Times New Roman"/>
                <w:color w:val="000000"/>
              </w:rPr>
              <w:t xml:space="preserve"> (сведения по регулируемому виду деятельности)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7.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Выручка от продажи товаров, работ, услуг 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727 3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50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712 833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8.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Себестоимость проданных товаров, работ, услуг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</w:tcPr>
          <w:p>
            <w:pPr>
              <w:widowControl w:val="off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722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  <w:t xml:space="preserve">766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788 620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9.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Валовая прибыль (убыток отчетного года)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</w:tcPr>
          <w:p>
            <w:pPr>
              <w:widowControl w:val="off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4 584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-75 787</w:t>
            </w:r>
          </w:p>
        </w:tc>
      </w:tr>
      <w:tr>
        <w:trPr>
          <w:jc w:val="center"/>
          <w:trHeight w:val="806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10.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Чистая прибыль (убыток)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</w:tcPr>
          <w:p>
            <w:pPr>
              <w:widowControl w:val="off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39 072</w:t>
            </w:r>
          </w:p>
        </w:tc>
      </w:tr>
      <w:tr>
        <w:trPr>
          <w:jc w:val="center"/>
          <w:trHeight w:val="714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11.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Кредиторская задолженность 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701 955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12.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Дебиторская задолженность 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eastAsia="Calibr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</w:tcPr>
          <w:p>
            <w:pPr>
              <w:widowControl w:val="off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289 958</w:t>
            </w:r>
          </w:p>
        </w:tc>
      </w:tr>
      <w:tr>
        <w:trPr>
          <w:jc w:val="center"/>
          <w:trHeight w:val="827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13.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Среднесписочная численность работников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человек</w:t>
            </w:r>
          </w:p>
        </w:tc>
        <w:tc>
          <w:tcPr>
            <w:tcW w:w="1325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375</w:t>
            </w:r>
          </w:p>
        </w:tc>
        <w:tc>
          <w:tcPr>
            <w:tcW w:w="1276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68</w:t>
            </w:r>
          </w:p>
        </w:tc>
      </w:tr>
      <w:tr>
        <w:trPr>
          <w:jc w:val="center"/>
          <w:trHeight w:val="1019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14.</w:t>
            </w:r>
          </w:p>
        </w:tc>
        <w:tc>
          <w:tcPr>
            <w:tcW w:w="5545" w:type="dxa"/>
            <w:shd w:val="clear" w:color="auto" w:fill="auto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Среднемесячная начисленная заработная плата работников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рублей</w:t>
            </w:r>
          </w:p>
        </w:tc>
        <w:tc>
          <w:tcPr>
            <w:tcW w:w="1325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88 321</w:t>
            </w:r>
          </w:p>
        </w:tc>
        <w:tc>
          <w:tcPr>
            <w:tcW w:w="1276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76 216</w:t>
            </w:r>
          </w:p>
        </w:tc>
      </w:tr>
      <w:tr>
        <w:trPr>
          <w:jc w:val="center"/>
        </w:trPr>
        <w:tc>
          <w:tcPr>
            <w:tcW w:w="9918" w:type="dxa"/>
            <w:gridSpan w:val="5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Водоотведение</w:t>
            </w:r>
          </w:p>
        </w:tc>
      </w:tr>
      <w:tr>
        <w:trPr>
          <w:jc w:val="center"/>
        </w:trPr>
        <w:tc>
          <w:tcPr>
            <w:tcW w:w="518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</w:t>
            </w:r>
          </w:p>
        </w:tc>
        <w:tc>
          <w:tcPr>
            <w:tcW w:w="5545" w:type="dxa"/>
            <w:shd w:val="clear" w:color="auto" w:fill="auto"/>
            <w:vAlign w:val="center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Базовый уровень операционных расходов на первый год долгосрочного периода регулирования (операционные расходы на следующие годы, за первым годом долгосрочного периода регулирования)</w:t>
            </w:r>
          </w:p>
        </w:tc>
        <w:tc>
          <w:tcPr>
            <w:tcW w:w="1254" w:type="dxa"/>
            <w:shd w:val="clear" w:color="auto" w:fill="auto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тыс. руб. без НДС</w:t>
            </w:r>
          </w:p>
        </w:tc>
        <w:tc>
          <w:tcPr>
            <w:tcW w:w="1325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460 746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420 691</w:t>
            </w:r>
          </w:p>
        </w:tc>
      </w:tr>
      <w:tr>
        <w:trPr>
          <w:jc w:val="center"/>
        </w:trPr>
        <w:tc>
          <w:tcPr>
            <w:tcW w:w="518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2</w:t>
            </w:r>
          </w:p>
        </w:tc>
        <w:tc>
          <w:tcPr>
            <w:tcW w:w="5545" w:type="dxa"/>
            <w:shd w:val="clear" w:color="auto" w:fill="auto"/>
            <w:vAlign w:val="center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Индекс эффективности операционных расходов</w:t>
            </w:r>
          </w:p>
        </w:tc>
        <w:tc>
          <w:tcPr>
            <w:tcW w:w="1254" w:type="dxa"/>
            <w:shd w:val="clear" w:color="auto" w:fill="auto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%</w:t>
            </w:r>
          </w:p>
        </w:tc>
        <w:tc>
          <w:tcPr>
            <w:tcW w:w="1325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0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0</w:t>
            </w:r>
          </w:p>
        </w:tc>
      </w:tr>
      <w:tr>
        <w:trPr>
          <w:jc w:val="center"/>
        </w:trPr>
        <w:tc>
          <w:tcPr>
            <w:tcW w:w="518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3.</w:t>
            </w:r>
          </w:p>
        </w:tc>
        <w:tc>
          <w:tcPr>
            <w:tcW w:w="5545" w:type="dxa"/>
            <w:vAlign w:val="center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Нормативный уровень прибыли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тыс. руб. без НДС</w:t>
            </w:r>
          </w:p>
        </w:tc>
        <w:tc>
          <w:tcPr>
            <w:tcW w:w="1325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49 797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174 162</w:t>
            </w:r>
          </w:p>
        </w:tc>
      </w:tr>
      <w:tr>
        <w:trPr>
          <w:jc w:val="center"/>
        </w:trPr>
        <w:tc>
          <w:tcPr>
            <w:tcW w:w="518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3.1</w:t>
            </w:r>
          </w:p>
        </w:tc>
        <w:tc>
          <w:tcPr>
            <w:tcW w:w="5545" w:type="dxa"/>
            <w:vAlign w:val="center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То же самое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%</w:t>
            </w:r>
          </w:p>
        </w:tc>
        <w:tc>
          <w:tcPr>
            <w:tcW w:w="1325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7,8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23,84</w:t>
            </w:r>
          </w:p>
        </w:tc>
      </w:tr>
      <w:tr>
        <w:trPr>
          <w:jc w:val="center"/>
          <w:trHeight w:val="527"/>
        </w:trPr>
        <w:tc>
          <w:tcPr>
            <w:tcW w:w="518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4.</w:t>
            </w:r>
          </w:p>
        </w:tc>
        <w:tc>
          <w:tcPr>
            <w:tcW w:w="5545" w:type="dxa"/>
            <w:vAlign w:val="center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Сумма валовой выручки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тыс. руб. без НДС</w:t>
            </w:r>
          </w:p>
        </w:tc>
        <w:tc>
          <w:tcPr>
            <w:tcW w:w="1325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739 419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719 951</w:t>
            </w:r>
          </w:p>
        </w:tc>
      </w:tr>
      <w:tr>
        <w:trPr>
          <w:jc w:val="center"/>
        </w:trPr>
        <w:tc>
          <w:tcPr>
            <w:tcW w:w="518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5.</w:t>
            </w:r>
          </w:p>
        </w:tc>
        <w:tc>
          <w:tcPr>
            <w:tcW w:w="5545" w:type="dxa"/>
            <w:vAlign w:val="center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Изменение суммы валовой выручки к предыдущему году</w:t>
            </w:r>
          </w:p>
        </w:tc>
        <w:tc>
          <w:tcPr>
            <w:tcW w:w="1254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</w:t>
            </w:r>
          </w:p>
        </w:tc>
        <w:tc>
          <w:tcPr>
            <w:tcW w:w="1325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+5%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+5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bCs/>
                <w:iCs/>
              </w:rPr>
              <w:t xml:space="preserve">%</w:t>
            </w:r>
          </w:p>
        </w:tc>
      </w:tr>
      <w:tr>
        <w:trPr>
          <w:jc w:val="center"/>
        </w:trPr>
        <w:tc>
          <w:tcPr>
            <w:tcW w:w="518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6.</w:t>
            </w:r>
          </w:p>
        </w:tc>
        <w:tc>
          <w:tcPr>
            <w:tcW w:w="5545" w:type="dxa"/>
            <w:vAlign w:val="center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Объем отпуска воды</w:t>
            </w:r>
          </w:p>
        </w:tc>
        <w:tc>
          <w:tcPr>
            <w:tcW w:w="1254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тыс. м3</w:t>
            </w:r>
          </w:p>
        </w:tc>
        <w:tc>
          <w:tcPr>
            <w:tcW w:w="1325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15 125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14 739</w:t>
            </w:r>
          </w:p>
        </w:tc>
      </w:tr>
      <w:tr>
        <w:trPr>
          <w:jc w:val="center"/>
        </w:trPr>
        <w:tc>
          <w:tcPr>
            <w:tcW w:w="9918" w:type="dxa"/>
            <w:gridSpan w:val="5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Справочно</w:t>
            </w:r>
            <w:r>
              <w:rPr>
                <w:rFonts w:ascii="Times New Roman" w:hAnsi="Times New Roman" w:eastAsia="Calibri" w:cs="Times New Roman"/>
                <w:color w:val="000000"/>
              </w:rPr>
              <w:t xml:space="preserve"> (сведения по регулируемому виду деятельности)</w:t>
            </w:r>
          </w:p>
        </w:tc>
      </w:tr>
      <w:tr>
        <w:trPr>
          <w:jc w:val="center"/>
        </w:trPr>
        <w:tc>
          <w:tcPr>
            <w:tcW w:w="518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7.</w:t>
            </w:r>
          </w:p>
        </w:tc>
        <w:tc>
          <w:tcPr>
            <w:tcW w:w="5545" w:type="dxa"/>
            <w:vAlign w:val="center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Выручка от продажи товаров, работ, услуг 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739 419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719 951</w:t>
            </w:r>
          </w:p>
        </w:tc>
      </w:tr>
      <w:tr>
        <w:trPr>
          <w:jc w:val="center"/>
        </w:trPr>
        <w:tc>
          <w:tcPr>
            <w:tcW w:w="518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8.</w:t>
            </w:r>
          </w:p>
        </w:tc>
        <w:tc>
          <w:tcPr>
            <w:tcW w:w="5545" w:type="dxa"/>
            <w:vAlign w:val="center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Себестоимость проданных товаров, работ, услуг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689 622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737 160</w:t>
            </w:r>
          </w:p>
        </w:tc>
      </w:tr>
      <w:tr>
        <w:trPr>
          <w:jc w:val="center"/>
        </w:trPr>
        <w:tc>
          <w:tcPr>
            <w:tcW w:w="518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9.</w:t>
            </w:r>
          </w:p>
        </w:tc>
        <w:tc>
          <w:tcPr>
            <w:tcW w:w="5545" w:type="dxa"/>
            <w:vAlign w:val="center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Валовая прибыль (убыток отчетного года)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49 797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-17 209</w:t>
            </w:r>
          </w:p>
        </w:tc>
      </w:tr>
      <w:tr>
        <w:trPr>
          <w:jc w:val="center"/>
        </w:trPr>
        <w:tc>
          <w:tcPr>
            <w:tcW w:w="518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10.</w:t>
            </w:r>
          </w:p>
        </w:tc>
        <w:tc>
          <w:tcPr>
            <w:tcW w:w="5545" w:type="dxa"/>
            <w:vAlign w:val="center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Чистая прибыль (убыток)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154 413</w:t>
            </w:r>
          </w:p>
        </w:tc>
      </w:tr>
      <w:tr>
        <w:trPr>
          <w:jc w:val="center"/>
          <w:trHeight w:val="288"/>
        </w:trPr>
        <w:tc>
          <w:tcPr>
            <w:tcW w:w="518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11.</w:t>
            </w:r>
          </w:p>
        </w:tc>
        <w:tc>
          <w:tcPr>
            <w:tcW w:w="5545" w:type="dxa"/>
            <w:vAlign w:val="center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Кредиторская задолженность 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iCs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701 955</w:t>
            </w:r>
          </w:p>
        </w:tc>
      </w:tr>
      <w:tr>
        <w:trPr>
          <w:jc w:val="center"/>
        </w:trPr>
        <w:tc>
          <w:tcPr>
            <w:tcW w:w="518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12.</w:t>
            </w:r>
          </w:p>
        </w:tc>
        <w:tc>
          <w:tcPr>
            <w:tcW w:w="5545" w:type="dxa"/>
            <w:vAlign w:val="center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Дебиторская задолженность 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eastAsia="Calibr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289 958</w:t>
            </w:r>
          </w:p>
        </w:tc>
      </w:tr>
      <w:tr>
        <w:trPr>
          <w:jc w:val="center"/>
        </w:trPr>
        <w:tc>
          <w:tcPr>
            <w:tcW w:w="518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13.</w:t>
            </w:r>
          </w:p>
        </w:tc>
        <w:tc>
          <w:tcPr>
            <w:tcW w:w="5545" w:type="dxa"/>
            <w:vAlign w:val="center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Среднесписочная численность работников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человек</w:t>
            </w:r>
          </w:p>
        </w:tc>
        <w:tc>
          <w:tcPr>
            <w:tcW w:w="1325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355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295</w:t>
            </w:r>
          </w:p>
        </w:tc>
      </w:tr>
      <w:tr>
        <w:trPr>
          <w:jc w:val="center"/>
        </w:trPr>
        <w:tc>
          <w:tcPr>
            <w:tcW w:w="518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14.</w:t>
            </w:r>
          </w:p>
        </w:tc>
        <w:tc>
          <w:tcPr>
            <w:tcW w:w="5545" w:type="dxa"/>
            <w:shd w:val="clear" w:color="auto" w:fill="auto"/>
            <w:vAlign w:val="center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Среднемесячная начисленная заработная плата работников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рублей</w:t>
            </w:r>
          </w:p>
        </w:tc>
        <w:tc>
          <w:tcPr>
            <w:tcW w:w="1325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70 575</w:t>
            </w:r>
          </w:p>
        </w:tc>
        <w:tc>
          <w:tcPr>
            <w:tcW w:w="1276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66 100</w:t>
            </w:r>
          </w:p>
        </w:tc>
      </w:tr>
    </w:tbl>
    <w:p/>
    <w:p>
      <w:pPr>
        <w:pStyle w:val="af0"/>
        <w:spacing w:before="280" w:beforeAutospacing="0" w:after="0" w:afterAutospacing="0"/>
        <w:ind w:firstLine="709"/>
        <w:contextualSpacing/>
        <w:jc w:val="right"/>
        <w:rPr>
          <w:rStyle w:val="a3"/>
          <w:rFonts w:eastAsia="Calibri"/>
        </w:rPr>
      </w:pPr>
      <w:r>
        <w:br w:type="page" w:clear="all"/>
      </w:r>
    </w:p>
    <w:p>
      <w:pPr>
        <w:pStyle w:val="af0"/>
        <w:spacing w:before="280" w:beforeAutospacing="0" w:after="0" w:afterAutospacing="0"/>
        <w:ind w:firstLine="709"/>
        <w:contextualSpacing/>
        <w:jc w:val="right"/>
        <w:rPr>
          <w:rStyle w:val="a3"/>
          <w:rFonts w:eastAsia="Calibri"/>
          <w:b w:val="0"/>
          <w:iCs/>
        </w:rPr>
      </w:pPr>
      <w:r>
        <w:rPr>
          <w:rStyle w:val="a3"/>
          <w:rFonts w:eastAsia="Calibri"/>
        </w:rPr>
        <w:t xml:space="preserve">Приложение 3 к Акту </w:t>
      </w:r>
    </w:p>
    <w:p>
      <w:pPr>
        <w:pStyle w:val="af0"/>
        <w:spacing w:before="280" w:beforeAutospacing="0" w:after="0" w:afterAutospacing="0"/>
        <w:contextualSpacing/>
        <w:rPr>
          <w:rStyle w:val="a3"/>
          <w:rFonts w:eastAsia="Calibri"/>
        </w:rPr>
      </w:pPr>
      <w:bookmarkStart w:id="4" w:name="_Hlk146031549"/>
    </w:p>
    <w:p>
      <w:pPr>
        <w:pStyle w:val="af0"/>
        <w:spacing w:before="280" w:beforeAutospacing="0" w:after="0" w:afterAutospacing="0"/>
        <w:contextualSpacing/>
        <w:jc w:val="center"/>
        <w:rPr>
          <w:rStyle w:val="a3"/>
          <w:rFonts w:eastAsia="Calibri"/>
          <w:b w:val="0"/>
          <w:iCs/>
          <w:color w:val="000000" w:themeColor="text1"/>
        </w:rPr>
      </w:pPr>
      <w:r>
        <w:rPr>
          <w:rStyle w:val="a3"/>
          <w:rFonts w:eastAsia="Calibri"/>
          <w:color w:val="000000" w:themeColor="text1"/>
        </w:rPr>
        <w:t xml:space="preserve">Мониторинг </w:t>
      </w:r>
      <w:r>
        <w:rPr>
          <w:b/>
          <w:color w:val="000000" w:themeColor="text1"/>
        </w:rPr>
        <w:t xml:space="preserve">финансирования мероприятий </w:t>
      </w:r>
    </w:p>
    <w:p>
      <w:pPr>
        <w:pStyle w:val="af0"/>
        <w:spacing w:before="280" w:beforeAutospacing="0" w:after="0" w:afterAutospacing="0"/>
        <w:contextualSpacing/>
        <w:jc w:val="center"/>
        <w:rPr>
          <w:rStyle w:val="a3"/>
          <w:rFonts w:eastAsia="Calibri"/>
          <w:color w:val="000000" w:themeColor="text1"/>
        </w:rPr>
      </w:pPr>
      <w:r>
        <w:rPr>
          <w:rStyle w:val="a3"/>
          <w:rFonts w:eastAsia="Calibri"/>
          <w:color w:val="000000" w:themeColor="text1"/>
        </w:rPr>
        <w:t xml:space="preserve">по созданию и реконструкции Объекта соглашения</w:t>
      </w:r>
    </w:p>
    <w:p>
      <w:pPr>
        <w:pStyle w:val="af0"/>
        <w:spacing w:before="280" w:beforeAutospacing="0" w:after="0" w:afterAutospacing="0"/>
        <w:contextualSpacing/>
        <w:jc w:val="center"/>
        <w:rPr>
          <w:rStyle w:val="a3"/>
          <w:rFonts w:eastAsia="Calibri"/>
          <w:i/>
          <w:color w:val="000000" w:themeColor="text1"/>
        </w:rPr>
      </w:pPr>
      <w:r>
        <w:rPr>
          <w:rStyle w:val="a3"/>
          <w:rFonts w:eastAsia="Calibri"/>
          <w:color w:val="000000" w:themeColor="text1"/>
        </w:rPr>
        <w:t xml:space="preserve"> за период 202</w:t>
      </w:r>
      <w:r>
        <w:rPr>
          <w:rStyle w:val="a3"/>
          <w:rFonts w:eastAsia="Calibri"/>
          <w:color w:val="000000" w:themeColor="text1"/>
        </w:rPr>
        <w:t xml:space="preserve">4</w:t>
      </w:r>
      <w:r>
        <w:rPr>
          <w:rStyle w:val="a3"/>
          <w:rFonts w:eastAsia="Calibri"/>
          <w:color w:val="000000" w:themeColor="text1"/>
        </w:rPr>
        <w:t xml:space="preserve"> г.</w:t>
      </w:r>
    </w:p>
    <w:p>
      <w:pPr>
        <w:rPr>
          <w:rFonts w:ascii="Times New Roman" w:hAnsi="Times New Roman" w:cs="Times New Roman"/>
        </w:rPr>
      </w:pPr>
    </w:p>
    <w:tbl>
      <w:tblPr>
        <w:tblW w:w="9578" w:type="dxa"/>
        <w:tblLook w:val="04A0" w:firstRow="1" w:lastRow="0" w:firstColumn="1" w:lastColumn="0" w:noHBand="0" w:noVBand="1"/>
      </w:tblPr>
      <w:tblGrid>
        <w:gridCol w:w="1799"/>
        <w:gridCol w:w="3201"/>
        <w:gridCol w:w="1272"/>
        <w:gridCol w:w="1636"/>
        <w:gridCol w:w="1670"/>
      </w:tblGrid>
      <w:tr>
        <w:trPr>
          <w:trHeight w:val="1425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bookmarkEnd w:id="4"/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№ п/п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Наименование показателя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Ед. измерения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План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trike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Факт </w:t>
            </w:r>
          </w:p>
        </w:tc>
      </w:tr>
      <w:tr>
        <w:trPr>
          <w:trHeight w:val="300"/>
        </w:trPr>
        <w:tc>
          <w:tcPr>
            <w:tcW w:w="9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Водоснабжение</w:t>
            </w:r>
          </w:p>
        </w:tc>
      </w:tr>
      <w:tr>
        <w:trPr>
          <w:trHeight w:val="300"/>
        </w:trPr>
        <w:tc>
          <w:tcPr>
            <w:tcW w:w="9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Группа 3. Модернизация или реконструкция существующих объектов централизованных систем холодного водоснабжения в целях снижения уровня износа существующих объектов</w:t>
            </w:r>
          </w:p>
        </w:tc>
      </w:tr>
      <w:tr>
        <w:trPr>
          <w:trHeight w:val="585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1.1.1 (КС)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Реконструкция сетей водоснабжения Ду≥600 мм (в том числе проектно-изыскательные и строительно-монтажные работы)</w:t>
            </w:r>
          </w:p>
        </w:tc>
      </w:tr>
      <w:tr>
        <w:trPr>
          <w:trHeight w:val="6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3.1.1.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сети, входящей в состав участка "Водовод по ул. Северная (18) (от ВК-1 до точки врезки 4);"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1248,42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596,55</w:t>
            </w:r>
          </w:p>
        </w:tc>
      </w:tr>
      <w:tr>
        <w:trPr>
          <w:trHeight w:val="57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1.1.2 (КС)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none"/>
              <w:bottom w:val="single" w:color="auto" w:sz="4" w:space="0"/>
              <w:right w:val="single" w:color="000000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Реконструкция сетей водоснабжения 150мм&lt;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Ду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&lt;600мм (в том числе проектно-изыскательские и строительно-монтажные работы)</w:t>
            </w:r>
          </w:p>
        </w:tc>
      </w:tr>
      <w:tr>
        <w:trPr>
          <w:trHeight w:val="9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3.1.2.3 (ИП)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Участок сети от УТ-2-58 до ЦТП-5 (9/2)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(входит в состав участка "Участок сети холодного водоснабжения от Уз .58 до ЦТП 5 (ЦТП 9/2) по ул. 60 лет Октября №42, стр.2")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2 880,00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2356,96</w:t>
            </w:r>
          </w:p>
        </w:tc>
      </w:tr>
      <w:tr>
        <w:trPr>
          <w:trHeight w:val="6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3.1.2.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 сети, входящей в состав участка "Участок сети водоснабжения ЦТП-47 (10Б/1)-ЦТП-46 (10Б/2)" 2 этап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1 188,00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990,00</w:t>
            </w:r>
          </w:p>
        </w:tc>
      </w:tr>
      <w:tr>
        <w:trPr>
          <w:trHeight w:val="15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3.1.2.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Участок сети холодного водоснабжения от ТК-8 до ТК-7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691,88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557,67</w:t>
            </w:r>
          </w:p>
        </w:tc>
      </w:tr>
      <w:tr>
        <w:trPr>
          <w:trHeight w:val="12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3.1.2.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Участок сети водоснабжения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от  ж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/д по ул. Мира.6 до ТК16 - до жилого дома по ул. Мира,6а;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Участок сети водоснабжения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от  ж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/д по ул. Мира.6а до жилого дома по ул. Мира,4а;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Участок сети водоснабжения от  ж/д по ул. Мира.6а до жилого дома по ул. Мира,8а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3 689,78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3 142,99</w:t>
            </w:r>
          </w:p>
        </w:tc>
      </w:tr>
      <w:tr>
        <w:trPr>
          <w:trHeight w:val="57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1.1.3 (КС)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none"/>
              <w:bottom w:val="single" w:color="auto" w:sz="4" w:space="0"/>
              <w:right w:val="single" w:color="000000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Реконструкция сетей водоснабжения Ду≤150мм (в том числе проектно-изыскательские и строительно-монтажные работы)</w:t>
            </w:r>
          </w:p>
        </w:tc>
      </w:tr>
      <w:tr>
        <w:trPr>
          <w:trHeight w:val="6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"Участок сети холодного водоснабжения от ЦТП-70 (10А/2)-УТ1 до точки врезки в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тех. подполье жилого дома 7Б (Дзержинского, 31)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Участок сети холодного водоснабжения от точки врезки в тех. подполье жилого дома 7Б (Дзержинского, 31) до точки врезки в тех. подполье жилого дома 7А (Дзержинского, 33)"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383,70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335,59</w:t>
            </w:r>
          </w:p>
        </w:tc>
      </w:tr>
      <w:tr>
        <w:trPr>
          <w:trHeight w:val="12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3.1.3.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Участок сети холодного водоснабжения от точки врезки до УТ-8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Участок сети холодного водоснабжения от точки подключения к магистральной сети (ВК-2) до точки врезки к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ж.д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 Интернациональная, 47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Участок сети холодного водоснабжения от УТ8 до жилого дома 21 (Дзержинского, 27)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432,33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376,12</w:t>
            </w:r>
          </w:p>
        </w:tc>
      </w:tr>
      <w:tr>
        <w:trPr>
          <w:trHeight w:val="6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3.1.3.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 сети, входящей в состав участка "Участок сети водоснабжения" (Интернациональная, 27)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339,82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299,03</w:t>
            </w:r>
          </w:p>
        </w:tc>
      </w:tr>
      <w:tr>
        <w:trPr>
          <w:trHeight w:val="6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3.1.3.9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участка сети от УТ44 до ж/д20 (Дзержинского, 25)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(Участок сети холодного водоснабжения от УТ44 до жилого дома  20 (Дзержинского, 25)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171,43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145,67</w:t>
            </w:r>
          </w:p>
        </w:tc>
      </w:tr>
      <w:tr>
        <w:trPr>
          <w:trHeight w:val="6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3.1.3.1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участка сети от УТ-5 до д/с 29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(д/с №62 ул. Др. Народов, 14б).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375,60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344,81</w:t>
            </w:r>
          </w:p>
        </w:tc>
      </w:tr>
      <w:tr>
        <w:trPr>
          <w:trHeight w:val="12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3.1.3.1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участка сети от точки врезки в тех. подполье ж/д 28 (Др. Народов, 8) до задвижек в тех. подполь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е вставки 23 (Др. Народов, 8а).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228,85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194,78</w:t>
            </w:r>
          </w:p>
        </w:tc>
      </w:tr>
      <w:tr>
        <w:trPr>
          <w:trHeight w:val="12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3.1.3.1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участка сети от УТ-4 до ж/д 21 (ул. Др. Народов, 10).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(Участок сети холодного водоснабжения от УТ4 до жилого дома 21 (Дружбы Народов, 10))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321,50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273,66</w:t>
            </w:r>
          </w:p>
        </w:tc>
      </w:tr>
      <w:tr>
        <w:trPr>
          <w:trHeight w:val="900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3.1.3.13 (ИП)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участка сети от ТК-16А-6 до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т.А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по ул. Омская.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(ХВ от УТ5-УТ6 до школы 15)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958,44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814,14</w:t>
            </w:r>
          </w:p>
        </w:tc>
      </w:tr>
      <w:tr>
        <w:trPr>
          <w:trHeight w:val="900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3.1.3.1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участка сети вдоль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ул.Дружбы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народов от д.6 до д.12, от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кам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 ТК-16-17 до дома 12а и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кам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 ТК-16-11 до дома 20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(Участок сети холодного водоснабжения от УТ11 до жил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ого дома 2 (Дружбы Народов, 20)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1 550,86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1 223,71</w:t>
            </w:r>
          </w:p>
        </w:tc>
      </w:tr>
      <w:tr>
        <w:trPr>
          <w:trHeight w:val="57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1.2.4 (КС)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Модернизация технологической и электротехнической части на ЦТП (35 шт.) (в том числе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, подготовка рабочей документации и строительно-монтажные работы)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части на ЦТП 10Б/3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6 384,44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6 469,60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части на ЦТП 10Б/1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6 065,26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6 199,51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части на ЦТП 7А/1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5 842,31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6 008,73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части на ЦТП 10Б/2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5 971,67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6 122,65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части на ЦТП 9/2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6 322,23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6 417,11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части на ЦТП 15А/1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5 019,27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5 308,71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части на ЦТП 16Б/2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6 132,11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6 249,82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части на ЦТП 9/4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5 503,13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5 717,57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части на ЦТП 6/1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6 172,73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6 287,33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3.2.1.1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части на ЦТП 16А/1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6 862,86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6 876,97</w:t>
            </w:r>
          </w:p>
        </w:tc>
      </w:tr>
      <w:tr>
        <w:trPr>
          <w:trHeight w:val="20"/>
        </w:trPr>
        <w:tc>
          <w:tcPr>
            <w:tcW w:w="5000" w:type="dxa"/>
            <w:gridSpan w:val="2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Всего по группе 3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 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76 736,61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73 309,68</w:t>
            </w:r>
          </w:p>
        </w:tc>
      </w:tr>
      <w:tr>
        <w:trPr>
          <w:trHeight w:val="20"/>
        </w:trPr>
        <w:tc>
          <w:tcPr>
            <w:tcW w:w="9578" w:type="dxa"/>
            <w:gridSpan w:val="5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Выполнение обязательств по оплате по реализованным мероприятиям в прошедшем периоде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3.1.1.3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(ИП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2020-2023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 участка сети от ВК-У14/12 до ВК-У14/11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-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8 721,38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3.1.1.4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(ИП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2020-2023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участка сети от ВК (724) до ВК-У14/5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-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10 148,83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3.1.2.1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(ИП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2020-2023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 участка сети от ВК-У16/56 до ВК-У13а/4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-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7 559,92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3.1.2.9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(ИП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2020-2023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 сети, входящей в состав участка "Участок сети водоснабжения ЦТП-47 (10Б/1)-ЦТП-46 (10Б/2)"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-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6 513,17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(ИП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2020-2023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части на ЦТП 14/1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-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2 712,01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(ИП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2020-2023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части на ЦТП 1/5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-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2 420,19</w:t>
            </w:r>
          </w:p>
        </w:tc>
      </w:tr>
      <w:tr>
        <w:trPr>
          <w:trHeight w:val="300"/>
        </w:trPr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Выполнение обязательств по оплате по реализованным мероприятиям в прошедшем периоде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-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38 075,50</w:t>
            </w:r>
          </w:p>
        </w:tc>
      </w:tr>
      <w:tr>
        <w:trPr>
          <w:trHeight w:val="300"/>
        </w:trPr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ИТОГО по холодному водоснабжению (по КС)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 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76 736,61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111 385,18</w:t>
            </w:r>
          </w:p>
        </w:tc>
      </w:tr>
      <w:tr>
        <w:trPr>
          <w:trHeight w:val="300"/>
        </w:trPr>
        <w:tc>
          <w:tcPr>
            <w:tcW w:w="9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Группа 3. Модернизация или реконструкция существующих объектов централизованных систем водоотведения в целях снижения уровня износа существующих объектов</w:t>
            </w:r>
          </w:p>
        </w:tc>
      </w:tr>
      <w:tr>
        <w:trPr>
          <w:trHeight w:val="57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1.1.1 (КС)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Реконструкция сетей водоотведения Ду≥800мм (в том числе проектно-изыскательские и строительно-монтажные работы)</w:t>
            </w:r>
          </w:p>
        </w:tc>
      </w:tr>
      <w:tr>
        <w:trPr>
          <w:trHeight w:val="12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3.1.1.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 участка сети "Напорный канализационный трубопровод от ГКНС-1А до Приемной камеры на территории Канализационно-очистных сооружений"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157 764,93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110 526,74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trHeight w:val="675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1.1.2 (КС)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none"/>
              <w:bottom w:val="single" w:color="auto" w:sz="4" w:space="0"/>
              <w:right w:val="single" w:color="000000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Реконструкция сетей водоотведения 300мм&lt;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Ду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&lt;800мм (в том числе проектно-изыскательские и строительно-монтажные работы)</w:t>
            </w:r>
          </w:p>
        </w:tc>
      </w:tr>
      <w:tr>
        <w:trPr>
          <w:trHeight w:val="9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3.1.2.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"Канализационный коллектор по улице 60 лет Октября (ул.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№2) от ул. Мусы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Джалиля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(ул.№7)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Канализационный коллектор по улице Мусы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Джалиля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(ул. №7) (от колодца гашения до ул. 60 лет Октября (ул.№2))"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1200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,00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500,00</w:t>
            </w:r>
          </w:p>
        </w:tc>
      </w:tr>
      <w:tr>
        <w:trPr>
          <w:trHeight w:val="505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1.1.3 (КС)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none"/>
              <w:bottom w:val="single" w:color="auto" w:sz="4" w:space="0"/>
              <w:right w:val="single" w:color="000000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Реконструкция сетей водоотведения Ду≤300мм (в том числе проектно-изыскательские и строительно-монтажные работы) </w:t>
            </w:r>
          </w:p>
        </w:tc>
      </w:tr>
      <w:tr>
        <w:trPr>
          <w:trHeight w:val="937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3.1.3.1 (ИП)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Участок сети канализации от ж/д по ул. Менделеева 32 (строит.№26);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158,06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331,31</w:t>
            </w:r>
          </w:p>
        </w:tc>
      </w:tr>
      <w:tr>
        <w:trPr>
          <w:trHeight w:val="3248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3.1.3.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Участок сети канализации от ж/д по ул. Северная 8 (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строит.№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24);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Участок сети канализации от ж/д по ул. Северная 4 (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строит.№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25);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Участок сети канализации от ж/д по ул. Северная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12  (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строит.№43и);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Участок сети канализации от ж/д по ул. Северная 6а (строит.№9);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758,21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726,44</w:t>
            </w:r>
          </w:p>
        </w:tc>
      </w:tr>
      <w:tr>
        <w:trPr>
          <w:trHeight w:val="885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1.2.8.1 КС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Выполнение проектных, проектно-изыскательских работ и разработка проектной документации на реконструкцию канализационных очистных сооружений, получение государственных и экологических экспертиз. Разработка рабочей документация по 1 этапу реконструкции КОС.</w:t>
            </w:r>
          </w:p>
        </w:tc>
      </w:tr>
      <w:tr>
        <w:trPr>
          <w:trHeight w:val="279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3.2.1.1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(ИП)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Выполнение проектных, проектно-изыскательских работ и разработка проектной документации на реконструкцию канализационных очистных сооружений, получение государственных и экологических экспертиз. Разработка рабочей документация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по 1 этапу реконструкции КОС.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4 648,97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6 115,97</w:t>
            </w:r>
          </w:p>
        </w:tc>
      </w:tr>
      <w:tr>
        <w:trPr>
          <w:trHeight w:val="735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1.2.7 КС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Модернизация основного технологического и электротехнического оборудования КНС города (17 шт.)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br/>
              <w:t xml:space="preserve">(в том числе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энергоаудит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, проектно-изыскательские и строительно-монтажные работы)</w:t>
            </w:r>
          </w:p>
        </w:tc>
      </w:tr>
      <w:tr>
        <w:trPr>
          <w:trHeight w:val="875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3.2.2.2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основного технологического и электротехнического оборудования КНС-  РНС-1а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71 081,43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42 812,45</w:t>
            </w:r>
          </w:p>
        </w:tc>
      </w:tr>
      <w:tr>
        <w:trPr>
          <w:trHeight w:val="300"/>
        </w:trPr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Всего по группе 3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 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235 611,59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161 012,92</w:t>
            </w:r>
          </w:p>
        </w:tc>
      </w:tr>
      <w:tr>
        <w:trPr>
          <w:trHeight w:val="300"/>
        </w:trPr>
        <w:tc>
          <w:tcPr>
            <w:tcW w:w="9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Выполнение обязательств по оплате по реализованным мероприятиям в прошедшем периоде</w:t>
            </w:r>
          </w:p>
        </w:tc>
      </w:tr>
      <w:tr>
        <w:trPr>
          <w:trHeight w:val="300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(ИП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2020-2023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 сетей водоотведения, входящих в состав участка: "Участок канализационного коллектора от КК596 до КК563"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-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3 930,26</w:t>
            </w:r>
          </w:p>
        </w:tc>
      </w:tr>
      <w:tr>
        <w:trPr>
          <w:trHeight w:val="300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3.1.1.3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(ИП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2020-2023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участка сети от КК-У14/44 до КК-У14/78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-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12 231,30</w:t>
            </w:r>
          </w:p>
        </w:tc>
      </w:tr>
      <w:tr>
        <w:trPr>
          <w:trHeight w:val="300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3.1.1.4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(ИП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2020-2023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участка сети от ГКНС-3 до сущ.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Кам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-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18 937,59</w:t>
            </w:r>
          </w:p>
        </w:tc>
      </w:tr>
      <w:tr>
        <w:trPr>
          <w:trHeight w:val="300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3.1.3.16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(ИП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2020-2023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участка сети канализации от ж/д по ул. 60 лет Октября №1 (строит. №19), от ж/д по ул. Менделеева №2 (строит.№20) до коллектора по ул. 60 лет Октября 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-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1 466,68</w:t>
            </w:r>
          </w:p>
        </w:tc>
      </w:tr>
      <w:tr>
        <w:trPr>
          <w:trHeight w:val="300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3.1.3.19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(ИП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2020-2023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участка сети канализации от ж/д по у. Маршала Жукова 28 (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стр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№5)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-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7 959,86</w:t>
            </w:r>
          </w:p>
        </w:tc>
      </w:tr>
      <w:tr>
        <w:trPr>
          <w:trHeight w:val="300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3.2.2.3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(ИП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2020-2023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(модернизация) здания ГКНС-1А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-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1 420,65</w:t>
            </w:r>
          </w:p>
        </w:tc>
      </w:tr>
      <w:tr>
        <w:trPr>
          <w:trHeight w:val="300"/>
        </w:trPr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Всего по выполнению обязательств по оплате по реализованным мероприятиям в прошедшем периоде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0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45 946,34</w:t>
            </w:r>
          </w:p>
        </w:tc>
      </w:tr>
      <w:tr>
        <w:trPr>
          <w:trHeight w:val="300"/>
        </w:trPr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ИТОГО по водоотведению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(по КС)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 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235 611,59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206 959,26</w:t>
            </w:r>
          </w:p>
        </w:tc>
      </w:tr>
      <w:tr>
        <w:trPr>
          <w:trHeight w:val="300"/>
        </w:trPr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ИТОГО по концессионному соглашению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 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tabs>
                <w:tab w:val="left" w:pos="195"/>
                <w:tab w:val="center" w:pos="71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312 348,21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318 344,43</w:t>
            </w:r>
          </w:p>
        </w:tc>
      </w:tr>
    </w:tbl>
    <w:p>
      <w:pPr>
        <w:pStyle w:val="af0"/>
        <w:spacing w:before="280" w:beforeAutospacing="0" w:after="0" w:afterAutospacing="0"/>
        <w:contextualSpacing/>
        <w:rPr>
          <w:rStyle w:val="a3"/>
          <w:rFonts w:eastAsia="Calibri"/>
        </w:rPr>
      </w:pPr>
    </w:p>
    <w:sectPr>
      <w:headerReference w:type="default" r:id="rId9"/>
      <w:pgSz w:w="11906" w:h="16838"/>
      <w:pgMar w:top="1009" w:right="1134" w:bottom="993" w:left="1276" w:header="0" w:footer="0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Courier New">
    <w:panose1 w:val="02070309020205020404"/>
  </w:font>
  <w:font w:name="Droid Sans Devanagari">
    <w:panose1 w:val="020B0606030804020204"/>
  </w:font>
  <w:font w:name="Droid Sans Fallback">
    <w:panose1 w:val="020B0502000000000001"/>
  </w:font>
  <w:font w:name="Liberation Sans">
    <w:panose1 w:val="020B0604020202020204"/>
  </w:font>
  <w:font w:name="Segoe UI">
    <w:panose1 w:val="020B05020405040202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3423634"/>
      <w:docPartObj>
        <w:docPartGallery w:val="Page Numbers (Top of Page)"/>
        <w:docPartUnique w:val="true"/>
      </w:docPartObj>
    </w:sdtPr>
    <w:sdtContent>
      <w:p>
        <w:pPr>
          <w:pStyle w:val="af3"/>
          <w:jc w:val="center"/>
        </w:pPr>
      </w:p>
      <w:p>
        <w:pPr>
          <w:pStyle w:val="af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15</w:t>
        </w:r>
        <w:r>
          <w:fldChar w:fldCharType="end"/>
        </w:r>
      </w:p>
    </w:sdtContent>
  </w:sdt>
  <w:p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9C9A5EB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22EC2C8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C1E22EE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80BE6382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A5A521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4462DB22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6954186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557AB30A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F7B806FA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Calibri" w:hAnsi="Calibri" w:eastAsia="Calibri" w:cs="Times New Roman"/>
      <w:b/>
      <w:bCs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pPr>
      <w:keepNext/>
      <w:numPr>
        <w:numId w:val="1"/>
        <w:ilvl w:val="1"/>
      </w:numPr>
      <w:spacing w:before="240" w:after="60" w:line="240" w:lineRule="auto"/>
      <w:outlineLvl w:val="1"/>
    </w:pPr>
    <w:rPr>
      <w:rFonts w:ascii="Arial" w:hAnsi="Arial" w:eastAsia="Calibri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pPr>
      <w:keepNext/>
      <w:numPr>
        <w:numId w:val="1"/>
        <w:ilvl w:val="2"/>
      </w:numPr>
      <w:spacing w:before="240" w:after="60"/>
      <w:outlineLvl w:val="2"/>
    </w:pPr>
    <w:rPr>
      <w:rFonts w:ascii="Arial" w:hAnsi="Arial" w:eastAsia="Calibri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  <w:ilvl w:val="3"/>
      </w:numPr>
      <w:spacing w:before="240" w:after="60" w:line="240" w:lineRule="auto"/>
      <w:outlineLvl w:val="3"/>
    </w:pPr>
    <w:rPr>
      <w:rFonts w:ascii="Calibri" w:hAnsi="Calibri" w:eastAsia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pPr>
      <w:keepNext/>
      <w:numPr>
        <w:numId w:val="1"/>
        <w:ilvl w:val="4"/>
      </w:numPr>
      <w:spacing w:after="0" w:line="240" w:lineRule="auto"/>
      <w:jc w:val="both"/>
      <w:outlineLvl w:val="4"/>
    </w:pPr>
    <w:rPr>
      <w:rFonts w:ascii="Calibri" w:hAnsi="Calibri" w:eastAsia="Calibri" w:cs="Times New Roman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pPr>
      <w:numPr>
        <w:numId w:val="1"/>
        <w:ilvl w:val="5"/>
      </w:numPr>
      <w:spacing w:after="120" w:line="360" w:lineRule="auto"/>
      <w:jc w:val="center"/>
      <w:outlineLvl w:val="5"/>
    </w:pPr>
    <w:rPr>
      <w:rFonts w:ascii="Cambria" w:hAnsi="Cambria" w:eastAsia="Calibri" w:cs="Times New Roman"/>
      <w:caps/>
      <w:color w:val="943634"/>
      <w:spacing w:val="10"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pPr>
      <w:numPr>
        <w:numId w:val="1"/>
        <w:ilvl w:val="6"/>
      </w:numPr>
      <w:spacing w:after="120" w:line="360" w:lineRule="auto"/>
      <w:jc w:val="center"/>
      <w:outlineLvl w:val="6"/>
    </w:pPr>
    <w:rPr>
      <w:rFonts w:ascii="Cambria" w:hAnsi="Cambria" w:eastAsia="Calibri" w:cs="Times New Roman"/>
      <w:i/>
      <w:iCs/>
      <w:caps/>
      <w:color w:val="943634"/>
      <w:spacing w:val="10"/>
      <w:sz w:val="20"/>
      <w:szCs w:val="20"/>
      <w:lang w:eastAsia="ar-SA"/>
    </w:rPr>
  </w:style>
  <w:style w:type="paragraph" w:styleId="8">
    <w:name w:val="heading 8"/>
    <w:basedOn w:val="a"/>
    <w:next w:val="a"/>
    <w:link w:val="80"/>
    <w:qFormat/>
    <w:pPr>
      <w:numPr>
        <w:numId w:val="1"/>
        <w:ilvl w:val="7"/>
      </w:numPr>
      <w:spacing w:after="120" w:line="360" w:lineRule="auto"/>
      <w:jc w:val="center"/>
      <w:outlineLvl w:val="7"/>
    </w:pPr>
    <w:rPr>
      <w:rFonts w:ascii="Cambria" w:hAnsi="Cambria" w:eastAsia="Calibri" w:cs="Times New Roman"/>
      <w:caps/>
      <w:spacing w:val="1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pPr>
      <w:numPr>
        <w:numId w:val="1"/>
        <w:ilvl w:val="8"/>
      </w:numPr>
      <w:spacing w:after="120" w:line="360" w:lineRule="auto"/>
      <w:jc w:val="center"/>
      <w:outlineLvl w:val="8"/>
    </w:pPr>
    <w:rPr>
      <w:rFonts w:ascii="Cambria" w:hAnsi="Cambria" w:eastAsia="Calibri" w:cs="Times New Roman"/>
      <w:i/>
      <w:iCs/>
      <w:caps/>
      <w:spacing w:val="10"/>
      <w:sz w:val="20"/>
      <w:szCs w:val="20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10" w:customStyle="1">
    <w:name w:val="Заголовок 1 Знак"/>
    <w:basedOn w:val="a0"/>
    <w:link w:val="1"/>
    <w:qFormat/>
    <w:rPr>
      <w:rFonts w:ascii="Calibri" w:hAnsi="Calibri" w:eastAsia="Calibri" w:cs="Times New Roman"/>
      <w:b/>
      <w:bCs/>
      <w:sz w:val="28"/>
      <w:szCs w:val="28"/>
      <w:lang w:eastAsia="ar-SA"/>
    </w:rPr>
  </w:style>
  <w:style w:type="character" w:styleId="20" w:customStyle="1">
    <w:name w:val="Заголовок 2 Знак"/>
    <w:basedOn w:val="a0"/>
    <w:link w:val="2"/>
    <w:qFormat/>
    <w:rPr>
      <w:rFonts w:ascii="Arial" w:hAnsi="Arial" w:eastAsia="Calibri" w:cs="Times New Roman"/>
      <w:b/>
      <w:bCs/>
      <w:i/>
      <w:iCs/>
      <w:sz w:val="28"/>
      <w:szCs w:val="28"/>
      <w:lang w:eastAsia="ar-SA"/>
    </w:rPr>
  </w:style>
  <w:style w:type="character" w:styleId="30" w:customStyle="1">
    <w:name w:val="Заголовок 3 Знак"/>
    <w:basedOn w:val="a0"/>
    <w:link w:val="3"/>
    <w:qFormat/>
    <w:rPr>
      <w:rFonts w:ascii="Arial" w:hAnsi="Arial" w:eastAsia="Calibri" w:cs="Times New Roman"/>
      <w:b/>
      <w:bCs/>
      <w:sz w:val="26"/>
      <w:szCs w:val="26"/>
      <w:lang w:eastAsia="ar-SA"/>
    </w:rPr>
  </w:style>
  <w:style w:type="character" w:styleId="40" w:customStyle="1">
    <w:name w:val="Заголовок 4 Знак"/>
    <w:basedOn w:val="a0"/>
    <w:link w:val="4"/>
    <w:qFormat/>
    <w:rPr>
      <w:rFonts w:ascii="Calibri" w:hAnsi="Calibri" w:eastAsia="Calibri" w:cs="Times New Roman"/>
      <w:b/>
      <w:bCs/>
      <w:sz w:val="28"/>
      <w:szCs w:val="28"/>
      <w:lang w:eastAsia="ar-SA"/>
    </w:rPr>
  </w:style>
  <w:style w:type="character" w:styleId="50" w:customStyle="1">
    <w:name w:val="Заголовок 5 Знак"/>
    <w:basedOn w:val="a0"/>
    <w:link w:val="5"/>
    <w:qFormat/>
    <w:rPr>
      <w:rFonts w:ascii="Calibri" w:hAnsi="Calibri" w:eastAsia="Calibri" w:cs="Times New Roman"/>
      <w:b/>
      <w:bCs/>
      <w:sz w:val="24"/>
      <w:szCs w:val="24"/>
      <w:lang w:eastAsia="ar-SA"/>
    </w:rPr>
  </w:style>
  <w:style w:type="character" w:styleId="60" w:customStyle="1">
    <w:name w:val="Заголовок 6 Знак"/>
    <w:basedOn w:val="a0"/>
    <w:link w:val="6"/>
    <w:qFormat/>
    <w:rPr>
      <w:rFonts w:ascii="Cambria" w:hAnsi="Cambria" w:eastAsia="Calibri" w:cs="Times New Roman"/>
      <w:caps/>
      <w:color w:val="943634"/>
      <w:spacing w:val="10"/>
      <w:sz w:val="20"/>
      <w:szCs w:val="20"/>
      <w:lang w:eastAsia="ar-SA"/>
    </w:rPr>
  </w:style>
  <w:style w:type="character" w:styleId="70" w:customStyle="1">
    <w:name w:val="Заголовок 7 Знак"/>
    <w:basedOn w:val="a0"/>
    <w:link w:val="7"/>
    <w:qFormat/>
    <w:rPr>
      <w:rFonts w:ascii="Cambria" w:hAnsi="Cambria" w:eastAsia="Calibri" w:cs="Times New Roman"/>
      <w:i/>
      <w:iCs/>
      <w:caps/>
      <w:color w:val="943634"/>
      <w:spacing w:val="10"/>
      <w:sz w:val="20"/>
      <w:szCs w:val="20"/>
      <w:lang w:eastAsia="ar-SA"/>
    </w:rPr>
  </w:style>
  <w:style w:type="character" w:styleId="80" w:customStyle="1">
    <w:name w:val="Заголовок 8 Знак"/>
    <w:basedOn w:val="a0"/>
    <w:link w:val="8"/>
    <w:qFormat/>
    <w:rPr>
      <w:rFonts w:ascii="Cambria" w:hAnsi="Cambria" w:eastAsia="Calibri" w:cs="Times New Roman"/>
      <w:caps/>
      <w:spacing w:val="10"/>
      <w:sz w:val="20"/>
      <w:szCs w:val="20"/>
      <w:lang w:eastAsia="ar-SA"/>
    </w:rPr>
  </w:style>
  <w:style w:type="character" w:styleId="90" w:customStyle="1">
    <w:name w:val="Заголовок 9 Знак"/>
    <w:basedOn w:val="a0"/>
    <w:link w:val="9"/>
    <w:qFormat/>
    <w:rPr>
      <w:rFonts w:ascii="Cambria" w:hAnsi="Cambria" w:eastAsia="Calibri" w:cs="Times New Roman"/>
      <w:i/>
      <w:iCs/>
      <w:caps/>
      <w:spacing w:val="10"/>
      <w:sz w:val="20"/>
      <w:szCs w:val="20"/>
      <w:lang w:eastAsia="ar-SA"/>
    </w:rPr>
  </w:style>
  <w:style w:type="character" w:styleId="a4" w:customStyle="1">
    <w:name w:val="Верхний колонтитул Знак"/>
    <w:basedOn w:val="a0"/>
    <w:uiPriority w:val="99"/>
    <w:qFormat/>
  </w:style>
  <w:style w:type="character" w:styleId="a5" w:customStyle="1">
    <w:name w:val="Нижний колонтитул Знак"/>
    <w:basedOn w:val="a0"/>
    <w:uiPriority w:val="99"/>
    <w:qFormat/>
  </w:style>
  <w:style w:type="character" w:styleId="a6" w:customStyle="1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8" w:customStyle="1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9" w:customStyle="1">
    <w:name w:val="Тема примечания Знак"/>
    <w:basedOn w:val="a8"/>
    <w:uiPriority w:val="99"/>
    <w:semiHidden/>
    <w:qFormat/>
    <w:rPr>
      <w:b/>
      <w:bCs/>
      <w:sz w:val="20"/>
      <w:szCs w:val="20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styleId="ConsPlusNonformat" w:customStyle="1">
    <w:name w:val="ConsPlusNonformat"/>
    <w:qFormat/>
    <w:pPr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af" w:customStyle="1">
    <w:name w:val="Название приложения"/>
    <w:basedOn w:val="a"/>
    <w:qFormat/>
    <w:pPr>
      <w:spacing w:after="160" w:line="259" w:lineRule="auto"/>
      <w:jc w:val="center"/>
    </w:pPr>
    <w:rPr>
      <w:rFonts w:ascii="Times New Roman" w:hAnsi="Times New Roman" w:eastAsia="Calibri" w:cs="Times New Roman"/>
      <w:b/>
      <w:sz w:val="24"/>
      <w:szCs w:val="24"/>
    </w:rPr>
  </w:style>
  <w:style w:type="paragraph" w:styleId="af0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af2" w:customStyle="1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 w:customStyle="1">
    <w:name w:val="Содержимое таблицы"/>
    <w:basedOn w:val="a"/>
    <w:qFormat/>
    <w:pPr>
      <w:widowControl w:val="off"/>
      <w:suppressLineNumbers/>
    </w:pPr>
  </w:style>
  <w:style w:type="paragraph" w:styleId="af7" w:customStyle="1">
    <w:name w:val="Заголовок таблицы"/>
    <w:basedOn w:val="af6"/>
    <w:qFormat/>
    <w:pPr>
      <w:jc w:val="center"/>
    </w:pPr>
    <w:rPr>
      <w:b/>
      <w:bCs/>
    </w:rPr>
  </w:style>
  <w:style w:type="paragraph" w:styleId="af8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Pr>
      <w:b/>
      <w:bCs/>
    </w:rPr>
  </w:style>
  <w:style w:type="table" w:styleId="afa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b" w:customStyle="1">
    <w:name w:val="Основной текст_"/>
    <w:basedOn w:val="a0"/>
    <w:link w:val="11"/>
    <w:rPr>
      <w:rFonts w:ascii="Times New Roman" w:hAnsi="Times New Roman" w:eastAsia="Times New Roman" w:cs="Times New Roman"/>
      <w:b/>
      <w:bCs/>
      <w:spacing w:val="4"/>
      <w:sz w:val="21"/>
      <w:szCs w:val="21"/>
      <w:shd w:val="clear" w:color="auto" w:fill="ffffff"/>
    </w:rPr>
  </w:style>
  <w:style w:type="character" w:styleId="65pt" w:customStyle="1">
    <w:name w:val="Основной текст + 6;5 pt;Не полужирный"/>
    <w:basedOn w:val="afb"/>
    <w:rPr>
      <w:rFonts w:ascii="Times New Roman" w:hAnsi="Times New Roman" w:eastAsia="Times New Roman" w:cs="Times New Roman"/>
      <w:b/>
      <w:bCs/>
      <w:color w:val="000000"/>
      <w:spacing w:val="4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styleId="11" w:customStyle="1">
    <w:name w:val="Основной текст1"/>
    <w:basedOn w:val="a"/>
    <w:link w:val="afb"/>
    <w:pPr>
      <w:widowControl w:val="off"/>
      <w:shd w:val="clear" w:color="auto" w:fill="ffffff"/>
      <w:spacing w:after="0" w:line="278" w:lineRule="exact"/>
    </w:pPr>
    <w:rPr>
      <w:rFonts w:ascii="Times New Roman" w:hAnsi="Times New Roman" w:eastAsia="Times New Roman" w:cs="Times New Roman"/>
      <w:b/>
      <w:bCs/>
      <w:spacing w:val="4"/>
      <w:sz w:val="21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EC9DA-1D88-424E-87DC-D1CA1B7D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21798</Characters>
  <CharactersWithSpaces>25571</CharactersWithSpaces>
  <Company/>
  <DocSecurity>0</DocSecurity>
  <HyperlinksChanged>false</HyperlinksChanged>
  <Lines>181</Lines>
  <LinksUpToDate>false</LinksUpToDate>
  <Pages>15</Pages>
  <Paragraphs>51</Paragraphs>
  <ScaleCrop>false</ScaleCrop>
  <SharedDoc>false</SharedDoc>
  <Template>Normal</Template>
  <TotalTime>22</TotalTime>
  <Words>3824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Сусликова Ольга Николаевна</dc:creator>
  <cp:keywords/>
  <dc:description/>
  <dc:language>ru-RU</dc:language>
  <cp:lastModifiedBy>Кулиев Эльвин Элханович</cp:lastModifiedBy>
  <cp:revision>7</cp:revision>
  <cp:lastPrinted>2025-06-05T06:04:00Z</cp:lastPrinted>
  <dcterms:created xsi:type="dcterms:W3CDTF">2025-05-26T08:48:00Z</dcterms:created>
  <dcterms:modified xsi:type="dcterms:W3CDTF">2025-06-05T06:07:00Z</dcterms:modified>
</cp:coreProperties>
</file>