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center"/>
        <w:rPr/>
      </w:pPr>
      <w:r>
        <w:rPr>
          <w:b/>
          <w:sz w:val="28"/>
          <w:szCs w:val="34"/>
        </w:rPr>
        <w:t>ПОСТАНОВЛЕНИE</w:t>
      </w:r>
    </w:p>
    <w:p>
      <w:pPr>
        <w:pStyle w:val="Normal"/>
        <w:spacing w:lineRule="auto" w:line="240" w:before="0" w:after="0"/>
        <w:ind w:right="4989" w:hanging="0"/>
        <w:jc w:val="both"/>
        <w:rPr/>
      </w:pPr>
      <w:r>
        <w:rPr>
          <w:sz w:val="24"/>
          <w:szCs w:val="24"/>
        </w:rPr>
        <w:t xml:space="preserve">О внесении </w:t>
      </w:r>
      <w:r>
        <w:rPr>
          <w:bCs/>
          <w:sz w:val="24"/>
          <w:szCs w:val="24"/>
        </w:rPr>
        <w:t xml:space="preserve">изменения в приложение 1 к </w:t>
      </w:r>
      <w:r>
        <w:rPr>
          <w:sz w:val="24"/>
          <w:szCs w:val="24"/>
        </w:rPr>
        <w:t>постановлению администрации города от 17.06.2019 №470 "О системе мотивации участников проектной деятельности администрации города Нижневартовска"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ab/>
        <w:t>В целях приведения муниципального правового акта в соответствие действующим законодательством: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ab/>
        <w:t xml:space="preserve">1. Внести изменение в приложение 1 к постановлению администрации города от 17.06.2019 №470 "О системе мотивации участников проектной деятельности администрации города Нижневартовска", изложив пункт 3.5 раздела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III</w:t>
      </w:r>
      <w:r>
        <w:rPr>
          <w:rFonts w:cs="Times New Roman"/>
          <w:sz w:val="28"/>
          <w:szCs w:val="28"/>
        </w:rPr>
        <w:t xml:space="preserve"> в следующей редакции:</w:t>
      </w:r>
    </w:p>
    <w:p>
      <w:pPr>
        <w:pStyle w:val="ConsPlusNormal1"/>
        <w:keepNext w:val="true"/>
        <w:widowControl/>
        <w:suppressAutoHyphens w:val="true"/>
        <w:spacing w:lineRule="auto" w:line="240" w:before="0" w:after="0"/>
        <w:ind w:firstLine="540"/>
        <w:contextualSpacing/>
        <w:jc w:val="both"/>
        <w:rPr/>
      </w:pPr>
      <w:r>
        <w:rPr>
          <w:rFonts w:ascii="Tinos" w:hAnsi="Tinos"/>
          <w:sz w:val="28"/>
          <w:szCs w:val="28"/>
        </w:rPr>
        <w:t xml:space="preserve">"3.5. Предложение муниципального проектного офиса должно содержать, в том числе сведения о рекомендуемом размере премии лицам, указанным в </w:t>
      </w:r>
      <w:r>
        <w:rPr>
          <w:rFonts w:ascii="Tinos" w:hAnsi="Tinos"/>
          <w:color w:val="000000"/>
          <w:sz w:val="28"/>
          <w:szCs w:val="28"/>
        </w:rPr>
        <w:t xml:space="preserve">пункте 1.1 </w:t>
      </w:r>
      <w:r>
        <w:rPr>
          <w:rFonts w:ascii="Tinos" w:hAnsi="Tinos"/>
          <w:sz w:val="28"/>
          <w:szCs w:val="28"/>
        </w:rPr>
        <w:t>Положения, который рассчитывается по следующей формуле:</w:t>
      </w:r>
    </w:p>
    <w:p>
      <w:pPr>
        <w:pStyle w:val="Normal"/>
        <w:keepNext w:val="true"/>
        <w:suppressAutoHyphens w:val="true"/>
        <w:spacing w:lineRule="auto" w:line="240" w:before="0" w:after="0"/>
        <w:contextualSpacing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ab/>
      </w:r>
    </w:p>
    <w:p>
      <w:pPr>
        <w:pStyle w:val="Normal"/>
        <w:keepNext w:val="true"/>
        <w:suppressAutoHyphens w:val="true"/>
        <w:spacing w:lineRule="auto" w:line="240" w:before="0" w:after="0"/>
        <w:contextualSpacing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>Рекомендуемый размер премии = БП/2*Интегральный КПЭ*Тр</w:t>
      </w:r>
      <w:r>
        <w:rPr>
          <w:rFonts w:cs="Times New Roman" w:ascii="Tinos" w:hAnsi="Tinos"/>
          <w:color w:val="000000"/>
          <w:sz w:val="28"/>
          <w:szCs w:val="28"/>
          <w:vertAlign w:val="subscript"/>
        </w:rPr>
        <w:t>пр</w:t>
      </w:r>
      <w:r>
        <w:rPr>
          <w:rFonts w:cs="Times New Roman" w:ascii="Tinos" w:hAnsi="Tinos"/>
          <w:color w:val="000000"/>
          <w:sz w:val="28"/>
          <w:szCs w:val="28"/>
        </w:rPr>
        <w:t>/Тр</w:t>
      </w:r>
      <w:r>
        <w:rPr>
          <w:rFonts w:cs="Times New Roman" w:ascii="Liberation Serif" w:hAnsi="Liberation Serif"/>
          <w:color w:val="000000"/>
          <w:sz w:val="28"/>
          <w:szCs w:val="28"/>
          <w:vertAlign w:val="subscript"/>
        </w:rPr>
        <w:t>Σ</w:t>
      </w:r>
      <w:r>
        <w:rPr>
          <w:rFonts w:cs="Times New Roman" w:ascii="Tinos" w:hAnsi="Tinos"/>
          <w:color w:val="000000"/>
          <w:sz w:val="28"/>
          <w:szCs w:val="28"/>
        </w:rPr>
        <w:t>, где: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ab/>
        <w:t>БП - базис для расчета размера премии, рассчитываемый как среднее арифметическое су</w:t>
      </w:r>
      <w:r>
        <w:rPr>
          <w:rFonts w:cs="Times New Roman" w:ascii="Tinos" w:hAnsi="Tinos"/>
          <w:strike w:val="false"/>
          <w:dstrike w:val="false"/>
          <w:color w:val="000000"/>
          <w:sz w:val="28"/>
          <w:szCs w:val="28"/>
        </w:rPr>
        <w:t xml:space="preserve">ммы установленных </w:t>
      </w:r>
      <w:r>
        <w:rPr>
          <w:rFonts w:eastAsia="Times New Roman" w:cs="Times New Roman" w:ascii="Tinos" w:hAnsi="Tinos"/>
          <w:strike w:val="false"/>
          <w:dstrike w:val="false"/>
          <w:color w:val="000000"/>
          <w:kern w:val="0"/>
          <w:sz w:val="28"/>
          <w:szCs w:val="28"/>
          <w:lang w:val="ru-RU" w:eastAsia="zh-CN" w:bidi="ar-SA"/>
        </w:rPr>
        <w:t>должностных окладов</w:t>
      </w:r>
      <w:r>
        <w:rPr>
          <w:rFonts w:cs="Times New Roman" w:ascii="Tinos" w:hAnsi="Tinos"/>
          <w:strike w:val="false"/>
          <w:dstrike w:val="false"/>
          <w:color w:val="000000"/>
          <w:sz w:val="28"/>
          <w:szCs w:val="28"/>
        </w:rPr>
        <w:t xml:space="preserve"> по всем</w:t>
      </w:r>
      <w:r>
        <w:rPr>
          <w:rFonts w:cs="Times New Roman" w:ascii="Tinos" w:hAnsi="Tinos"/>
          <w:color w:val="000000"/>
          <w:sz w:val="28"/>
          <w:szCs w:val="28"/>
        </w:rPr>
        <w:t xml:space="preserve"> должностям муниципальной службы администрации города Нижневартовска и принимаемый равным 14 768 рублям;</w:t>
      </w:r>
      <w:bookmarkStart w:id="0" w:name="_GoBack"/>
      <w:bookmarkEnd w:id="0"/>
    </w:p>
    <w:p>
      <w:pPr>
        <w:pStyle w:val="ConsPlusNormal1"/>
        <w:keepNext w:val="true"/>
        <w:suppressAutoHyphens w:val="true"/>
        <w:spacing w:before="0" w:after="0"/>
        <w:ind w:firstLine="540"/>
        <w:contextualSpacing/>
        <w:jc w:val="both"/>
        <w:rPr/>
      </w:pPr>
      <w:r>
        <w:rPr>
          <w:rFonts w:ascii="Tinos" w:hAnsi="Tinos"/>
          <w:sz w:val="28"/>
          <w:szCs w:val="28"/>
        </w:rPr>
        <w:t>Интегральный КПЭ - значение интегрального КПЭ участника проектной деятельности за отчетный период, в качестве которого в целях определения рекомендуемого размера премии принимается квартал;</w:t>
      </w:r>
    </w:p>
    <w:p>
      <w:pPr>
        <w:pStyle w:val="Normal"/>
        <w:keepNext w:val="true"/>
        <w:suppressAutoHyphens w:val="true"/>
        <w:spacing w:lineRule="auto" w:line="240" w:before="0" w:after="0"/>
        <w:contextualSpacing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ab/>
        <w:t>Тр</w:t>
      </w:r>
      <w:r>
        <w:rPr>
          <w:rFonts w:cs="Times New Roman" w:ascii="Tinos" w:hAnsi="Tinos"/>
          <w:color w:val="000000"/>
          <w:sz w:val="28"/>
          <w:szCs w:val="28"/>
          <w:vertAlign w:val="subscript"/>
        </w:rPr>
        <w:t>пр</w:t>
      </w:r>
      <w:r>
        <w:rPr>
          <w:rFonts w:cs="Times New Roman" w:ascii="Tinos" w:hAnsi="Tinos"/>
          <w:color w:val="000000"/>
          <w:sz w:val="28"/>
          <w:szCs w:val="28"/>
        </w:rPr>
        <w:t xml:space="preserve"> - фактическая суммарная трудоемкость участника проектной деятельности за отчетный период по проектной деятельности;</w:t>
      </w:r>
    </w:p>
    <w:p>
      <w:pPr>
        <w:pStyle w:val="Normal"/>
        <w:keepNext w:val="true"/>
        <w:suppressAutoHyphens w:val="true"/>
        <w:spacing w:lineRule="auto" w:line="240" w:before="0" w:after="0"/>
        <w:contextualSpacing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ab/>
        <w:t>Тр</w:t>
      </w:r>
      <w:r>
        <w:rPr>
          <w:rFonts w:cs="Times New Roman" w:ascii="Liberation Serif" w:hAnsi="Liberation Serif"/>
          <w:color w:val="000000"/>
          <w:sz w:val="28"/>
          <w:szCs w:val="28"/>
          <w:vertAlign w:val="subscript"/>
        </w:rPr>
        <w:t>Σ</w:t>
      </w:r>
      <w:r>
        <w:rPr>
          <w:rFonts w:cs="Times New Roman" w:ascii="Tinos" w:hAnsi="Tinos"/>
          <w:color w:val="000000"/>
          <w:sz w:val="28"/>
          <w:szCs w:val="28"/>
        </w:rPr>
        <w:t>- фактическая суммарная трудоемкость участника проектной деятельности за отчетный период по всем видам деятельности (проектной и иной).".</w:t>
      </w:r>
    </w:p>
    <w:p>
      <w:pPr>
        <w:pStyle w:val="Normal"/>
        <w:keepNext w:val="true"/>
        <w:suppressAutoHyphens w:val="true"/>
        <w:spacing w:lineRule="auto" w:line="240" w:before="0" w:after="0"/>
        <w:contextualSpacing/>
        <w:jc w:val="both"/>
        <w:rPr>
          <w:rFonts w:ascii="Tinos" w:hAnsi="Tinos" w:cs="Times New Roman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Times New Roman" w:ascii="Tinos" w:hAnsi="Tinos"/>
          <w:color w:val="000000"/>
          <w:sz w:val="28"/>
          <w:szCs w:val="28"/>
        </w:rPr>
        <w:tab/>
      </w:r>
      <w:r>
        <w:rPr>
          <w:rFonts w:eastAsia="Calibri" w:cs="Tinos" w:ascii="Tinos" w:hAnsi="Tinos"/>
          <w:color w:val="000000"/>
          <w:sz w:val="28"/>
          <w:szCs w:val="28"/>
          <w:lang w:eastAsia="en-US"/>
        </w:rPr>
        <w:t>2. Департаменту общественных коммуникаций и молодежной политики администрации города (</w:t>
      </w:r>
      <w:r>
        <w:rPr>
          <w:rFonts w:eastAsia="Calibri" w:cs="Tinos" w:ascii="Tinos" w:hAnsi="Tinos"/>
          <w:color w:val="000000"/>
          <w:sz w:val="28"/>
          <w:szCs w:val="28"/>
          <w:lang w:eastAsia="en-US"/>
        </w:rPr>
        <w:t xml:space="preserve">В.А. </w:t>
      </w:r>
      <w:r>
        <w:rPr>
          <w:rFonts w:eastAsia="Calibri" w:cs="Tinos" w:ascii="Tinos" w:hAnsi="Tinos"/>
          <w:color w:val="000000"/>
          <w:kern w:val="0"/>
          <w:sz w:val="28"/>
          <w:szCs w:val="28"/>
          <w:lang w:val="ru-RU" w:eastAsia="en-US" w:bidi="ar-SA"/>
        </w:rPr>
        <w:t>Мыльников</w:t>
      </w:r>
      <w:r>
        <w:rPr>
          <w:rFonts w:eastAsia="Calibri" w:cs="Tinos" w:ascii="Tinos" w:hAnsi="Tinos"/>
          <w:color w:val="000000"/>
          <w:sz w:val="28"/>
          <w:szCs w:val="28"/>
          <w:lang w:eastAsia="en-US"/>
        </w:rPr>
        <w:t>) обеспечить официальное опубликование постановления.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cs="Times New Roman"/>
          <w:color w:val="000000"/>
          <w:sz w:val="28"/>
          <w:szCs w:val="28"/>
        </w:rPr>
        <w:tab/>
        <w:t>3</w:t>
      </w:r>
      <w:r>
        <w:rPr>
          <w:rFonts w:eastAsia="Calibri" w:cs="Tinos" w:ascii="Tinos" w:hAnsi="Tinos"/>
          <w:color w:val="000000"/>
          <w:kern w:val="0"/>
          <w:sz w:val="28"/>
          <w:szCs w:val="28"/>
          <w:lang w:val="ru-RU" w:eastAsia="en-US" w:bidi="ar-SA"/>
        </w:rPr>
        <w:t>. Постановление</w:t>
      </w:r>
      <w:r>
        <w:rPr>
          <w:rFonts w:eastAsia="Calibri" w:cs="Tinos" w:ascii="Tinos" w:hAnsi="Tinos"/>
          <w:b w:val="false"/>
          <w:color w:val="000000"/>
          <w:kern w:val="0"/>
          <w:sz w:val="28"/>
          <w:szCs w:val="28"/>
          <w:lang w:val="ru-RU" w:eastAsia="en-US" w:bidi="ar-SA"/>
        </w:rPr>
        <w:t xml:space="preserve"> вступает в силу </w:t>
      </w:r>
      <w:r>
        <w:rPr>
          <w:rFonts w:eastAsia="Calibri" w:cs="Tinos" w:ascii="Tinos" w:hAnsi="Tinos"/>
          <w:b w:val="false"/>
          <w:color w:val="000000"/>
          <w:kern w:val="0"/>
          <w:sz w:val="28"/>
          <w:szCs w:val="28"/>
          <w:lang w:val="ru-RU" w:eastAsia="en-US" w:bidi="ar-SA"/>
        </w:rPr>
        <w:t>после</w:t>
      </w:r>
      <w:r>
        <w:rPr>
          <w:rFonts w:eastAsia="Calibri" w:cs="Tinos" w:ascii="Tinos" w:hAnsi="Tinos"/>
          <w:b w:val="false"/>
          <w:color w:val="000000"/>
          <w:kern w:val="0"/>
          <w:sz w:val="28"/>
          <w:szCs w:val="28"/>
          <w:lang w:val="ru-RU" w:eastAsia="en-US" w:bidi="ar-SA"/>
        </w:rPr>
        <w:t xml:space="preserve"> его официального опубликования и распространяется на правоотношения, возникшие с 01.01.2023.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nos" w:hAnsi="Tinos" w:eastAsia="Calibri" w:cs="Tinos"/>
          <w:b w:val="false"/>
          <w:b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nos" w:ascii="Tinos" w:hAnsi="Tinos"/>
          <w:b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Д.А. Кощенко</w:t>
      </w:r>
    </w:p>
    <w:sectPr>
      <w:headerReference w:type="default" r:id="rId2"/>
      <w:type w:val="nextPage"/>
      <w:pgSz w:w="11906" w:h="16838"/>
      <w:pgMar w:left="1701" w:right="707" w:header="390" w:top="900" w:footer="0" w:bottom="83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before="0" w:after="200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aj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 w:cstheme="minorBidi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eastAsia="Times New Roman"/>
      <w:color w:val="000000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eastAsia="Calibri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HTML" w:customStyle="1">
    <w:name w:val="Стандартный HTML Знак"/>
    <w:qFormat/>
    <w:rPr>
      <w:rFonts w:ascii="Courier New" w:hAnsi="Courier New" w:eastAsia="Times New Roman"/>
      <w:sz w:val="20"/>
      <w:szCs w:val="20"/>
    </w:rPr>
  </w:style>
  <w:style w:type="character" w:styleId="Style8" w:customStyle="1">
    <w:name w:val="Текст сноски Знак"/>
    <w:qFormat/>
    <w:rPr>
      <w:rFonts w:ascii="Calibri" w:hAnsi="Calibri" w:eastAsia="Calibri"/>
      <w:sz w:val="20"/>
      <w:szCs w:val="20"/>
    </w:rPr>
  </w:style>
  <w:style w:type="character" w:styleId="ConsPlusNormal" w:customStyle="1">
    <w:name w:val="ConsPlusNormal Знак"/>
    <w:qFormat/>
    <w:rPr>
      <w:rFonts w:ascii="Arial" w:hAnsi="Arial" w:eastAsia="Times New Roman"/>
      <w:sz w:val="20"/>
      <w:szCs w:val="20"/>
    </w:rPr>
  </w:style>
  <w:style w:type="character" w:styleId="Style9" w:customStyle="1">
    <w:name w:val="Текст выноски Знак"/>
    <w:qFormat/>
    <w:rPr>
      <w:rFonts w:ascii="Segoe UI" w:hAnsi="Segoe UI" w:eastAsia="Times New Roman"/>
      <w:sz w:val="18"/>
      <w:szCs w:val="18"/>
    </w:rPr>
  </w:style>
  <w:style w:type="character" w:styleId="Style10" w:customStyle="1">
    <w:name w:val="Верхний колонтитул Знак"/>
    <w:qFormat/>
    <w:rPr>
      <w:rFonts w:ascii="Times New Roman" w:hAnsi="Times New Roman" w:eastAsia="Times New Roman"/>
    </w:rPr>
  </w:style>
  <w:style w:type="character" w:styleId="Style11" w:customStyle="1">
    <w:name w:val="Нижний колонтитул Знак"/>
    <w:qFormat/>
    <w:rPr>
      <w:rFonts w:ascii="Times New Roman" w:hAnsi="Times New Roman" w:eastAsia="Times New Roman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3">
    <w:name w:val="Body Text"/>
    <w:basedOn w:val="Normal"/>
    <w:pPr>
      <w:spacing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7">
    <w:name w:val="Title"/>
    <w:basedOn w:val="Normal"/>
    <w:next w:val="Style1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HAnsi" w:hAnsiTheme="majorHAnsi"/>
      <w:color w:val="auto"/>
      <w:kern w:val="0"/>
      <w:sz w:val="22"/>
      <w:szCs w:val="22"/>
      <w:lang w:val="en-US" w:eastAsia="en-US" w:bidi="ar-SA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9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note Text"/>
    <w:basedOn w:val="Normal"/>
    <w:pPr/>
    <w:rPr>
      <w:rFonts w:ascii="Calibri" w:hAnsi="Calibri" w:eastAsia="Calibri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/>
  </w:style>
  <w:style w:type="paragraph" w:styleId="11">
    <w:name w:val="TOC 1"/>
    <w:basedOn w:val="Normal"/>
    <w:uiPriority w:val="39"/>
    <w:unhideWhenUsed/>
    <w:pPr>
      <w:spacing w:before="0" w:after="57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aj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 w:asciiTheme="minorHAnsi" w:cstheme="minorBidi" w:hAnsiTheme="majorHAnsi"/>
      <w:color w:val="auto"/>
      <w:kern w:val="0"/>
      <w:sz w:val="20"/>
      <w:szCs w:val="20"/>
      <w:lang w:val="ru-RU" w:eastAsia="zh-CN" w:bidi="ar-SA"/>
    </w:rPr>
  </w:style>
  <w:style w:type="paragraph" w:styleId="HTMLPreformatted">
    <w:name w:val="HTML Preformatted"/>
    <w:basedOn w:val="Normal"/>
    <w:qFormat/>
    <w:pPr/>
    <w:rPr>
      <w:rFonts w:ascii="Courier New" w:hAnsi="Courier New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val="ru-RU" w:eastAsia="ru-RU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LibreOffice/7.0.6.2$Linux_X86_64 LibreOffice_project/00$Build-2</Application>
  <AppVersion>15.0000</AppVersion>
  <Pages>1</Pages>
  <Words>216</Words>
  <Characters>1592</Characters>
  <CharactersWithSpaces>1890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2023-04-18T06:07:00Z</dcterms:created>
  <dc:creator>Иванова Анастасия Юрьевна</dc:creator>
  <dc:description/>
  <dc:language>ru-RU</dc:language>
  <cp:lastModifiedBy/>
  <cp:lastPrinted>2023-04-12T14:18:00Z</cp:lastPrinted>
  <dcterms:modified xsi:type="dcterms:W3CDTF">2023-06-23T09:23:06Z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