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93" w:rsidRPr="003F0B93" w:rsidRDefault="003F0B93" w:rsidP="00DD2935">
      <w:pPr>
        <w:tabs>
          <w:tab w:val="left" w:pos="993"/>
        </w:tabs>
        <w:spacing w:after="0" w:line="240" w:lineRule="auto"/>
        <w:jc w:val="right"/>
        <w:rPr>
          <w:rFonts w:cs="XO Thames"/>
          <w:color w:val="000000"/>
          <w:sz w:val="20"/>
          <w:szCs w:val="20"/>
        </w:rPr>
      </w:pPr>
    </w:p>
    <w:p w:rsidR="00A07989" w:rsidRDefault="00A07989" w:rsidP="00DD29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51" w:rsidRDefault="00433C70" w:rsidP="00DD29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1FB">
        <w:rPr>
          <w:rFonts w:ascii="Times New Roman" w:hAnsi="Times New Roman" w:cs="Times New Roman"/>
          <w:b/>
          <w:bCs/>
          <w:sz w:val="28"/>
          <w:szCs w:val="28"/>
        </w:rPr>
        <w:t>Информация об осуществлении международных связей за 202</w:t>
      </w:r>
      <w:r w:rsidR="000578B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431F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F7C58" w:rsidRDefault="00CF7C58" w:rsidP="00DD29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650C4" w:rsidRDefault="006650C4" w:rsidP="00DD29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FF" w:rsidRDefault="002A14FF" w:rsidP="00DD29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1015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551"/>
        <w:gridCol w:w="2268"/>
        <w:gridCol w:w="3827"/>
        <w:gridCol w:w="4536"/>
        <w:gridCol w:w="5817"/>
      </w:tblGrid>
      <w:tr w:rsidR="002A14FF" w:rsidRPr="00DD2935" w:rsidTr="00CF7C58">
        <w:tc>
          <w:tcPr>
            <w:tcW w:w="2016" w:type="dxa"/>
            <w:vMerge w:val="restart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Сфера сотрудничества</w:t>
            </w:r>
          </w:p>
        </w:tc>
        <w:tc>
          <w:tcPr>
            <w:tcW w:w="2551" w:type="dxa"/>
            <w:vMerge w:val="restart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8363" w:type="dxa"/>
            <w:gridSpan w:val="2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5817" w:type="dxa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Итоги сотрудничества</w:t>
            </w:r>
          </w:p>
        </w:tc>
      </w:tr>
      <w:tr w:rsidR="002A14FF" w:rsidRPr="00DD2935" w:rsidTr="00CF7C58">
        <w:trPr>
          <w:trHeight w:val="309"/>
        </w:trPr>
        <w:tc>
          <w:tcPr>
            <w:tcW w:w="2016" w:type="dxa"/>
            <w:vMerge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с российской</w:t>
            </w:r>
          </w:p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стороны</w:t>
            </w:r>
          </w:p>
        </w:tc>
        <w:tc>
          <w:tcPr>
            <w:tcW w:w="4536" w:type="dxa"/>
          </w:tcPr>
          <w:p w:rsidR="002A14FF" w:rsidRPr="00FC5E1B" w:rsidRDefault="002A14FF" w:rsidP="00DD29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b/>
                <w:sz w:val="24"/>
                <w:szCs w:val="24"/>
              </w:rPr>
              <w:t>с иностранной стороны</w:t>
            </w:r>
          </w:p>
        </w:tc>
        <w:tc>
          <w:tcPr>
            <w:tcW w:w="5817" w:type="dxa"/>
          </w:tcPr>
          <w:p w:rsidR="002A14FF" w:rsidRPr="00FC5E1B" w:rsidRDefault="002A14FF" w:rsidP="00DD2935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2935" w:rsidRPr="00DD2935" w:rsidTr="008435A5">
        <w:trPr>
          <w:trHeight w:val="408"/>
        </w:trPr>
        <w:tc>
          <w:tcPr>
            <w:tcW w:w="21015" w:type="dxa"/>
            <w:gridSpan w:val="6"/>
          </w:tcPr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</w:tr>
      <w:tr w:rsidR="00134DB2" w:rsidRPr="00D43C4E" w:rsidTr="00CF7C58">
        <w:trPr>
          <w:trHeight w:val="408"/>
        </w:trPr>
        <w:tc>
          <w:tcPr>
            <w:tcW w:w="2016" w:type="dxa"/>
          </w:tcPr>
          <w:p w:rsidR="00134DB2" w:rsidRPr="00FC5E1B" w:rsidRDefault="00134DB2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DB2" w:rsidRPr="00FC5E1B" w:rsidRDefault="008024F6" w:rsidP="0064742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"Перспективы развития современного образования"</w:t>
            </w:r>
          </w:p>
        </w:tc>
        <w:tc>
          <w:tcPr>
            <w:tcW w:w="2268" w:type="dxa"/>
          </w:tcPr>
          <w:p w:rsidR="00134DB2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28.10.2025</w:t>
            </w:r>
          </w:p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интернет-конференция  </w:t>
            </w:r>
          </w:p>
        </w:tc>
        <w:tc>
          <w:tcPr>
            <w:tcW w:w="3827" w:type="dxa"/>
          </w:tcPr>
          <w:p w:rsidR="00134DB2" w:rsidRPr="00FC5E1B" w:rsidRDefault="006650C4" w:rsidP="00E7320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Сотрудники департамента образования администрации города, МАУ г. Нижневартовска «Центр развития образования» и около 300 человек из 50 </w:t>
            </w:r>
            <w:r w:rsidR="00E73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образований</w:t>
            </w: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(Челябинск, Муром, Петрозаводск, Екатеринбург, Донецк, Норильск, Салехард, Москва, Симферополь, Ялта, Судак, Феодосия, Бахчисарайский район, Владимир, Калининград, Самара, Омск, Троицк, Томск, Саратов, Волгоград, Новосибирск, Ставрополь, Ярославль, Пенза, Кудрово, представители Ханты-Мансийского автономного округа</w:t>
            </w:r>
            <w:r w:rsidR="004A69FA"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-Югра</w:t>
            </w: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536" w:type="dxa"/>
          </w:tcPr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r w:rsidR="008C1B0A" w:rsidRPr="00FC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 участие:</w:t>
            </w:r>
          </w:p>
          <w:p w:rsidR="00364E25" w:rsidRPr="00FC5E1B" w:rsidRDefault="00364E2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Беларусь:</w:t>
            </w:r>
          </w:p>
          <w:p w:rsidR="00134DB2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Башаркина Елена Александровна, кандидат педагогических наук, доцент, декан факультета педагогики и психологии детства "Могилевский государственный университет имени А. А. Кулешова", г. Могилев;</w:t>
            </w:r>
          </w:p>
          <w:p w:rsidR="00364E25" w:rsidRPr="00FC5E1B" w:rsidRDefault="00364E2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Таджикистан:</w:t>
            </w:r>
          </w:p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Кодиров Бахтиёр Розикович, доктор педагогических наук, профессор кафедры медицинской и биологической физики с основами информационных технологий ГОУ "Таджикский государственный медицинский университет имени Абуали ибни Сино", г. Душанбе;</w:t>
            </w:r>
          </w:p>
          <w:p w:rsidR="00364E25" w:rsidRPr="00FC5E1B" w:rsidRDefault="00364E2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Китайская </w:t>
            </w:r>
            <w:r w:rsidR="00E732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FC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ародная </w:t>
            </w:r>
            <w:r w:rsidR="00E732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FC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еспублика:</w:t>
            </w:r>
          </w:p>
          <w:p w:rsidR="00DD2935" w:rsidRPr="00FC5E1B" w:rsidRDefault="00D43C4E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eastAsia="Calibri" w:hAnsi="Times New Roman" w:cs="Times New Roman"/>
                <w:sz w:val="24"/>
                <w:szCs w:val="24"/>
              </w:rPr>
              <w:t>Принял участие Ван Вэньцзяо, кандидат педагогических наук, руководитель программы обучения китайскому языку как иностранному "Хуанганский политехнический колледж", г. Хуанган</w:t>
            </w:r>
          </w:p>
        </w:tc>
        <w:tc>
          <w:tcPr>
            <w:tcW w:w="5817" w:type="dxa"/>
          </w:tcPr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В конференции принял</w:t>
            </w:r>
            <w:r w:rsidR="006474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около 300 человек.</w:t>
            </w:r>
          </w:p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По итогам конференции издан Сборник статей (46 статей) интернет-конференции в электронном виде (с присвоением индексов ББК, ISBN), с размещением в Научной электронной библиотеке eLibrary.ru с регистрацией в наукометрической базе РИНЦ и принята резолюция.</w:t>
            </w:r>
          </w:p>
          <w:p w:rsidR="00134DB2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Материалы выступлений и сборник размещены на сайте конференции https://mk2025.edu-nv.ru.</w:t>
            </w:r>
          </w:p>
        </w:tc>
      </w:tr>
      <w:tr w:rsidR="00DD2935" w:rsidRPr="00DD2935" w:rsidTr="00CF7C58">
        <w:trPr>
          <w:trHeight w:val="408"/>
        </w:trPr>
        <w:tc>
          <w:tcPr>
            <w:tcW w:w="2016" w:type="dxa"/>
          </w:tcPr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D2935" w:rsidRPr="00FC5E1B" w:rsidRDefault="00DD2935" w:rsidP="00DD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профессионального мастерства "Содружество молодых педагогов"</w:t>
            </w:r>
          </w:p>
        </w:tc>
        <w:tc>
          <w:tcPr>
            <w:tcW w:w="2268" w:type="dxa"/>
          </w:tcPr>
          <w:p w:rsidR="00DD2935" w:rsidRPr="00FC5E1B" w:rsidRDefault="00DD2935" w:rsidP="00DD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:rsidR="00DD2935" w:rsidRPr="00FC5E1B" w:rsidRDefault="00DD2935" w:rsidP="00DD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</w:tcPr>
          <w:p w:rsidR="00DD2935" w:rsidRPr="00FC5E1B" w:rsidRDefault="001E6F78" w:rsidP="006D7C6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заочном этапе </w:t>
            </w:r>
            <w:r w:rsidR="006D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конкурса </w:t>
            </w: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приняли участие педагоги из Ханты-Мансийского автономного округа-Югр</w:t>
            </w:r>
            <w:r w:rsidR="00E73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Томской области, г. Луганск, г. Муром, г. Тамбов, г. Шахты, </w:t>
            </w:r>
            <w:r w:rsidRPr="00FC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Уссурийск.</w:t>
            </w:r>
          </w:p>
        </w:tc>
        <w:tc>
          <w:tcPr>
            <w:tcW w:w="4536" w:type="dxa"/>
          </w:tcPr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Приняли участие:</w:t>
            </w:r>
          </w:p>
          <w:p w:rsidR="00364E25" w:rsidRPr="00FC5E1B" w:rsidRDefault="00364E2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Беларусь:</w:t>
            </w:r>
          </w:p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- Тишковец Софья Леонидовна, государственное учреждение образования "Неманицкая средняя школа Борисовского района"</w:t>
            </w:r>
          </w:p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Борисов;    </w:t>
            </w:r>
          </w:p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- Шибаева Александра Анатольевна, ГУО "Лошницкий дошкольный центр развития ребёнка Борисовского района", Минская область, Борисовский район, агрогородок Лошница;</w:t>
            </w:r>
          </w:p>
          <w:p w:rsidR="00DD2935" w:rsidRPr="00FC5E1B" w:rsidRDefault="00DD2935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- Янович Ксения Владиславовна, государственное учреждение образования "Средняя школа №11", Минская область, г. Борисов</w:t>
            </w:r>
            <w:r w:rsidR="00364E25"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4E25" w:rsidRPr="00FC5E1B" w:rsidRDefault="00364E25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7" w:type="dxa"/>
          </w:tcPr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В заочном этапе конкурса приняли участие 86 педагогов, из них в номинациях: </w:t>
            </w:r>
          </w:p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 дошкольного образования» - 41; </w:t>
            </w:r>
          </w:p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«Педагоги общего образования» - 35;</w:t>
            </w:r>
          </w:p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«Педагоги дополнительного образования» - 10.</w:t>
            </w: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В состав жюри конкурса вошли представители учреждений образования городов Мозырь, Круглое, Могилев (Беларусь), Астана, с. Токуши (Казахстан); представители Сургутского государственного университета; специалисты департамента образования администрации города Нижневартовска, руководящие и педагогические работники образовательных организаций города Иркутска, Мурома, Нижневартовска, Томска.</w:t>
            </w:r>
          </w:p>
          <w:p w:rsidR="006650C4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 xml:space="preserve">19 декабря 2025 года состоялось подведение итогов конкурса и определение победителей и призёров конкурса. </w:t>
            </w:r>
          </w:p>
          <w:p w:rsidR="00DD2935" w:rsidRPr="00FC5E1B" w:rsidRDefault="006650C4" w:rsidP="006650C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E1B">
              <w:rPr>
                <w:rFonts w:ascii="Times New Roman" w:hAnsi="Times New Roman" w:cs="Times New Roman"/>
                <w:sz w:val="24"/>
                <w:szCs w:val="24"/>
              </w:rPr>
              <w:t>Страница конкурса «Содружество молодых педагогов» в сети Интернет:  https://smp2025.edu-nv.ru</w:t>
            </w:r>
          </w:p>
        </w:tc>
      </w:tr>
      <w:tr w:rsidR="00C72C04" w:rsidRPr="00BF23DE" w:rsidTr="008435A5">
        <w:trPr>
          <w:trHeight w:val="408"/>
        </w:trPr>
        <w:tc>
          <w:tcPr>
            <w:tcW w:w="21015" w:type="dxa"/>
            <w:gridSpan w:val="6"/>
          </w:tcPr>
          <w:p w:rsidR="00C72C04" w:rsidRPr="00FC5E1B" w:rsidRDefault="00C72C04" w:rsidP="00DD293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 сфере культуры и искусства </w:t>
            </w:r>
          </w:p>
        </w:tc>
      </w:tr>
      <w:tr w:rsidR="00CF7C58" w:rsidRPr="00DD2935" w:rsidTr="00CF7C58">
        <w:trPr>
          <w:trHeight w:val="40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CF7C58" w:rsidRDefault="00CF7C58" w:rsidP="00CF7C5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F7C5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Медиамост "Универсальный язык культуры"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12.02.2025, </w:t>
            </w:r>
          </w:p>
          <w:p w:rsidR="00CF7C58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15.08.2025, </w:t>
            </w:r>
          </w:p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формат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CF7C58" w:rsidRDefault="00CF7C58" w:rsidP="00CF7C5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МБУ "Библиотечно-информационная система"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Сотрудники Центральной городской библиотекой имени А.С. Пушкина города Тирасполь Приднестровской Молдавской Республики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Встреча была посвящена Международному дню родного языка. В ходе мероприятия шла речь о понятии "родной язык", говорили о важности сохранения родного языка, отметили, что Приднестровская Молдавская Республика является многонациональной и имеет три официальных языка – русский, украинский и молдавский. В ходе мероприятия читали стихи на 3-х языках, отметили языковые особенности разных народов и культур. В мероприятии приняли участие представители национальных общественных организаций Нижневартовска. Участники мероприятия сошлись во мнении, что единственный   универсальный и доступный всем язык общения, объединяющий людей и континенты – язык культуры.</w:t>
            </w:r>
          </w:p>
          <w:p w:rsidR="00CF7C58" w:rsidRPr="009F1D2B" w:rsidRDefault="00CF7C58" w:rsidP="00C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Очередная встреча с коллегами из Приднестровья была посвящена вопросам экологического просвещения и воспитания экологической культуры. Участники медиа встречи библиотекари поделились интересным опытом библиотечной работы в области экологического просвещения и охраны природы.  В завершение встречи библиотекари пришли к общему выводу: экологическое просвещение — вклад в будущее планеты и общества. И именно библиотеки играют важную роль в формировании устойчивого образа жизни.</w:t>
            </w:r>
          </w:p>
          <w:p w:rsidR="00CF7C58" w:rsidRPr="009F1D2B" w:rsidRDefault="00CF7C58" w:rsidP="00CF7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Темой заключительной встречи стало библиотечное образование – "Хочу все знать, или Где учиться библиотекарю". Сотрудники библиотек поделились информацией о различных платформах, используемых для повышения квалификации и самообразования библиотекарей. Участники встречи отметили важность международного сотрудничества между библиотеками России и Приднестровья</w:t>
            </w:r>
          </w:p>
        </w:tc>
      </w:tr>
      <w:tr w:rsidR="00CF7C58" w:rsidRPr="004A5780" w:rsidTr="00CF7C58">
        <w:trPr>
          <w:trHeight w:val="40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Медиамост "Приступаем к сотрудничеству: обмен опытом и знаниями в области библиотечной сферы"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27.03.2025</w:t>
            </w:r>
          </w:p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формат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МБУ "Библиотечно-информационная система"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6012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Сотрудники государственного учреждения культуры "Березинская центральная районная библиотека" (город Березино, Республика Беларусь).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58" w:rsidRPr="009F1D2B" w:rsidRDefault="00CF7C58" w:rsidP="00C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 xml:space="preserve">Состоялся живой разговор о различных форматах работы с детьми, подростками и молодежью, работе библиотек в медиасреде, краеведческой работе, деятельности клубных формирований и объединений. Особое внимание было уделено патриотическому воспитанию подрастающего поколения и мероприятиям, проводимым в рамках 80-й годовщины Победы в Великой Отечественной войне </w:t>
            </w:r>
          </w:p>
        </w:tc>
      </w:tr>
      <w:tr w:rsidR="002A14FF" w:rsidRPr="004A5780" w:rsidTr="00CF7C58">
        <w:trPr>
          <w:trHeight w:val="408"/>
        </w:trPr>
        <w:tc>
          <w:tcPr>
            <w:tcW w:w="2016" w:type="dxa"/>
          </w:tcPr>
          <w:p w:rsidR="002A14FF" w:rsidRPr="009F1D2B" w:rsidRDefault="002A14FF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4FF" w:rsidRPr="009F1D2B" w:rsidRDefault="00C06B00" w:rsidP="00E7320B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 xml:space="preserve">VII Международный многожанровый фестиваль-конкурс </w:t>
            </w:r>
            <w:r w:rsidRPr="009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"Millennium" и концерт</w:t>
            </w:r>
            <w:r w:rsidR="00E7320B" w:rsidRPr="009F1D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, приуроченны</w:t>
            </w:r>
            <w:r w:rsidR="00E7320B" w:rsidRPr="009F1D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празднованию Светлого праздника Пасхи и 80-й годовщины Победы в Великой Отечественной войне </w:t>
            </w:r>
          </w:p>
        </w:tc>
        <w:tc>
          <w:tcPr>
            <w:tcW w:w="2268" w:type="dxa"/>
          </w:tcPr>
          <w:p w:rsidR="002A14FF" w:rsidRPr="009F1D2B" w:rsidRDefault="00C06B00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 2025</w:t>
            </w:r>
          </w:p>
          <w:p w:rsidR="00C06B00" w:rsidRPr="009F1D2B" w:rsidRDefault="00C06B00" w:rsidP="00DD29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формат</w:t>
            </w:r>
          </w:p>
        </w:tc>
        <w:tc>
          <w:tcPr>
            <w:tcW w:w="3827" w:type="dxa"/>
          </w:tcPr>
          <w:p w:rsidR="002A14FF" w:rsidRPr="009F1D2B" w:rsidRDefault="00C06B00" w:rsidP="00C06B0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хорового отделения МАОУДО города Нижневартовска "Детская школа искусств №1"</w:t>
            </w:r>
          </w:p>
        </w:tc>
        <w:tc>
          <w:tcPr>
            <w:tcW w:w="4536" w:type="dxa"/>
          </w:tcPr>
          <w:p w:rsidR="00660A81" w:rsidRPr="009F1D2B" w:rsidRDefault="00660A81" w:rsidP="004A5780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1084" w:rsidRPr="009F1D2B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редставители Прихода храма в честь преподобномученика Афанасия Брестского Гродненской епархии </w:t>
            </w:r>
            <w:r w:rsidR="00AF1084" w:rsidRPr="009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Белорусской Православной Церкви Московского Патриархата</w:t>
            </w:r>
          </w:p>
          <w:p w:rsidR="002A14FF" w:rsidRPr="009F1D2B" w:rsidRDefault="00660A81" w:rsidP="004A5780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(г. Брест, г. Гродно, Республика Беларусь).</w:t>
            </w:r>
          </w:p>
        </w:tc>
        <w:tc>
          <w:tcPr>
            <w:tcW w:w="5817" w:type="dxa"/>
          </w:tcPr>
          <w:p w:rsidR="002A14FF" w:rsidRPr="009F1D2B" w:rsidRDefault="008E6D33" w:rsidP="004A5780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хорового отделения муниципального автономного учреждения дополнительного образования города Нижневартовска "Детская школа </w:t>
            </w:r>
            <w:r w:rsidRPr="009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 №1" приняли участие в VII Международном многожанровом фестивале-конкурс "Millennium", завоевав 5 призовых мест (3 лауреата I степени, 2 лауреата II степени) и концертах, приуроченных к празднованию Светлого праздника Пасхи и 80-й годовщины Победы в Великой Отечественной войне (г. Брест, г. Гродно)</w:t>
            </w:r>
          </w:p>
        </w:tc>
      </w:tr>
      <w:tr w:rsidR="00CF7C58" w:rsidRPr="00DD2935" w:rsidTr="00CF7C58">
        <w:trPr>
          <w:trHeight w:val="408"/>
        </w:trPr>
        <w:tc>
          <w:tcPr>
            <w:tcW w:w="2016" w:type="dxa"/>
          </w:tcPr>
          <w:p w:rsidR="00CF7C58" w:rsidRPr="009F1D2B" w:rsidRDefault="00CF7C58" w:rsidP="00CA5DB7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C58" w:rsidRPr="009F1D2B" w:rsidRDefault="00CF7C58" w:rsidP="00CA5DB7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Медиамост "Великий май – победный май"</w:t>
            </w:r>
          </w:p>
        </w:tc>
        <w:tc>
          <w:tcPr>
            <w:tcW w:w="2268" w:type="dxa"/>
          </w:tcPr>
          <w:p w:rsidR="00CF7C58" w:rsidRPr="009F1D2B" w:rsidRDefault="00CF7C58" w:rsidP="00CA5DB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05.05.2025</w:t>
            </w:r>
          </w:p>
          <w:p w:rsidR="00CF7C58" w:rsidRPr="009F1D2B" w:rsidRDefault="00CF7C58" w:rsidP="00CA5DB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формат</w:t>
            </w:r>
          </w:p>
        </w:tc>
        <w:tc>
          <w:tcPr>
            <w:tcW w:w="3827" w:type="dxa"/>
          </w:tcPr>
          <w:p w:rsidR="00CF7C58" w:rsidRPr="009F1D2B" w:rsidRDefault="00CF7C58" w:rsidP="00CA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Сотрудники МБУ "Библиотечно-информационная система"</w:t>
            </w:r>
          </w:p>
        </w:tc>
        <w:tc>
          <w:tcPr>
            <w:tcW w:w="4536" w:type="dxa"/>
          </w:tcPr>
          <w:p w:rsidR="00CF7C58" w:rsidRPr="009F1D2B" w:rsidRDefault="00CF7C58" w:rsidP="00CA5DB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Восточно-Казахстанская областная библиотека имени А.С. Пушкина (город Усть-Каменогорск, Республика Казахстан).</w:t>
            </w:r>
          </w:p>
        </w:tc>
        <w:tc>
          <w:tcPr>
            <w:tcW w:w="5817" w:type="dxa"/>
          </w:tcPr>
          <w:p w:rsidR="00CF7C58" w:rsidRPr="009F1D2B" w:rsidRDefault="00CF7C58" w:rsidP="00CA5DB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Встреча проведена в рамках международного проекта "Россия - Казахстан. Открытое чтение без границ - 2025". Состоялся неформальный обмен воспоминаниями между прямыми потомками героев Великой Отечественной войны 1941–1945 гг.  Из уст молодых участников встречи звучали истории о фронтовиках и тружениках тыла. Участники встречи познакомились с деятельностью библиотечного Зала боевой славы "Навечно в памяти народной" Центральной городской библиотеки и его уникальными экспонатами. Поговорили о важности защиты исторической правды, сохранении исторической памяти, противодействии фальсификации истории</w:t>
            </w:r>
          </w:p>
        </w:tc>
      </w:tr>
      <w:tr w:rsidR="00CF7C58" w:rsidRPr="004A5780" w:rsidTr="00CF7C58">
        <w:trPr>
          <w:trHeight w:val="408"/>
        </w:trPr>
        <w:tc>
          <w:tcPr>
            <w:tcW w:w="2016" w:type="dxa"/>
          </w:tcPr>
          <w:p w:rsidR="00CF7C58" w:rsidRPr="009F1D2B" w:rsidRDefault="00CF7C58" w:rsidP="00334A8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C58" w:rsidRPr="009F1D2B" w:rsidRDefault="00CF7C58" w:rsidP="00334A8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Медиамост " Две страны – одна судьба"</w:t>
            </w:r>
          </w:p>
        </w:tc>
        <w:tc>
          <w:tcPr>
            <w:tcW w:w="2268" w:type="dxa"/>
          </w:tcPr>
          <w:p w:rsidR="00CF7C58" w:rsidRPr="009F1D2B" w:rsidRDefault="00CF7C58" w:rsidP="00334A8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29.10.2025 </w:t>
            </w:r>
          </w:p>
          <w:p w:rsidR="00CF7C58" w:rsidRPr="009F1D2B" w:rsidRDefault="00CF7C58" w:rsidP="00334A8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формат</w:t>
            </w:r>
          </w:p>
        </w:tc>
        <w:tc>
          <w:tcPr>
            <w:tcW w:w="3827" w:type="dxa"/>
          </w:tcPr>
          <w:p w:rsidR="00CF7C58" w:rsidRPr="009F1D2B" w:rsidRDefault="00CF7C58" w:rsidP="003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Сотрудники МБУ "Библиотечно-информационная система"</w:t>
            </w:r>
          </w:p>
        </w:tc>
        <w:tc>
          <w:tcPr>
            <w:tcW w:w="4536" w:type="dxa"/>
          </w:tcPr>
          <w:p w:rsidR="00CF7C58" w:rsidRPr="009F1D2B" w:rsidRDefault="00CF7C58" w:rsidP="00334A8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Сотрудники государственного учреждения культуры "Петриковская сеть публичных библиотек" города Петриков Республики Беларусь</w:t>
            </w:r>
          </w:p>
        </w:tc>
        <w:tc>
          <w:tcPr>
            <w:tcW w:w="5817" w:type="dxa"/>
          </w:tcPr>
          <w:p w:rsidR="00CF7C58" w:rsidRPr="009F1D2B" w:rsidRDefault="00CF7C58" w:rsidP="00334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Медиамост состоялся в рамках Фестиваля книги "Чтение объединяет!" Событие стало настоящим праздником культурного обмена и творчества, объединившим участников двух стран, позволило лучше узнать друг друга и почувствовать единство культур. Особое внимание было уделено литературной части программы с участием поэтов и писателей Нижневартовска и Петрикова. В мероприятии принял участие ансамбль "БЕЛОРОСЫ" НГОО КПО "Белая Русь". Это событие стало ярким примером того, как культура, литература и творчество могут объединять людей, преодолевая границы и расстояния</w:t>
            </w:r>
          </w:p>
        </w:tc>
      </w:tr>
      <w:tr w:rsidR="009F1D2B" w:rsidRPr="004A5780" w:rsidTr="00CF7C58">
        <w:trPr>
          <w:trHeight w:val="408"/>
        </w:trPr>
        <w:tc>
          <w:tcPr>
            <w:tcW w:w="2016" w:type="dxa"/>
          </w:tcPr>
          <w:p w:rsidR="009F1D2B" w:rsidRPr="009F1D2B" w:rsidRDefault="009F1D2B" w:rsidP="009F1D2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1D2B" w:rsidRPr="009F1D2B" w:rsidRDefault="009F1D2B" w:rsidP="009F1D2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Медиамост "Библиотечное краеведение: в поисках новых форм и идей"</w:t>
            </w:r>
          </w:p>
        </w:tc>
        <w:tc>
          <w:tcPr>
            <w:tcW w:w="2268" w:type="dxa"/>
          </w:tcPr>
          <w:p w:rsidR="009F1D2B" w:rsidRPr="009F1D2B" w:rsidRDefault="009F1D2B" w:rsidP="009F1D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9F1D2B" w:rsidRPr="009F1D2B" w:rsidRDefault="009F1D2B" w:rsidP="009F1D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формат</w:t>
            </w:r>
          </w:p>
        </w:tc>
        <w:tc>
          <w:tcPr>
            <w:tcW w:w="3827" w:type="dxa"/>
          </w:tcPr>
          <w:p w:rsidR="009F1D2B" w:rsidRPr="009F1D2B" w:rsidRDefault="009F1D2B" w:rsidP="009F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Сотрудники МБУ "Библиотечно-информационная система"</w:t>
            </w:r>
          </w:p>
        </w:tc>
        <w:tc>
          <w:tcPr>
            <w:tcW w:w="4536" w:type="dxa"/>
          </w:tcPr>
          <w:p w:rsidR="009F1D2B" w:rsidRPr="009F1D2B" w:rsidRDefault="009F1D2B" w:rsidP="009F1D2B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Представители Центральной районной  библиотеки города Березино Республики Беларусь</w:t>
            </w:r>
          </w:p>
        </w:tc>
        <w:tc>
          <w:tcPr>
            <w:tcW w:w="5817" w:type="dxa"/>
          </w:tcPr>
          <w:p w:rsidR="009F1D2B" w:rsidRPr="009F1D2B" w:rsidRDefault="009F1D2B" w:rsidP="009F1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2B">
              <w:rPr>
                <w:rFonts w:ascii="Times New Roman" w:hAnsi="Times New Roman" w:cs="Times New Roman"/>
                <w:sz w:val="24"/>
                <w:szCs w:val="24"/>
              </w:rPr>
              <w:t>Встреча с белорусскими коллегами была посвящена библиотечному краеведению. Сотрудники библиотек поделились опытом работы с краеведческими материалами, цифровыми инструментами, участии в грантовых проектах по краеведению. Живое общение способствует укреплению сотрудничества, вдохновляет обе стороны на генерацию новых идей и повышает интерес к изучению истории родного края</w:t>
            </w:r>
          </w:p>
        </w:tc>
      </w:tr>
    </w:tbl>
    <w:p w:rsidR="002A14FF" w:rsidRDefault="002A14FF" w:rsidP="00DD29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51" w:rsidRPr="00CE53E7" w:rsidRDefault="00D12351" w:rsidP="00DD2935">
      <w:pPr>
        <w:tabs>
          <w:tab w:val="left" w:pos="993"/>
        </w:tabs>
        <w:spacing w:after="0" w:line="240" w:lineRule="auto"/>
        <w:rPr>
          <w:rFonts w:cs="XO Thames"/>
          <w:color w:val="000000"/>
          <w:sz w:val="20"/>
          <w:szCs w:val="20"/>
        </w:rPr>
      </w:pPr>
    </w:p>
    <w:sectPr w:rsidR="00D12351" w:rsidRPr="00CE53E7" w:rsidSect="00223F5B">
      <w:pgSz w:w="23811" w:h="16838" w:orient="landscape" w:code="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C4" w:rsidRDefault="00A021C4">
      <w:pPr>
        <w:spacing w:after="0" w:line="240" w:lineRule="auto"/>
      </w:pPr>
      <w:r>
        <w:separator/>
      </w:r>
    </w:p>
  </w:endnote>
  <w:endnote w:type="continuationSeparator" w:id="0">
    <w:p w:rsidR="00A021C4" w:rsidRDefault="00A0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C4" w:rsidRDefault="00A021C4">
      <w:pPr>
        <w:spacing w:after="0" w:line="240" w:lineRule="auto"/>
      </w:pPr>
      <w:r>
        <w:separator/>
      </w:r>
    </w:p>
  </w:footnote>
  <w:footnote w:type="continuationSeparator" w:id="0">
    <w:p w:rsidR="00A021C4" w:rsidRDefault="00A0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15B"/>
    <w:multiLevelType w:val="hybridMultilevel"/>
    <w:tmpl w:val="A560C32A"/>
    <w:lvl w:ilvl="0" w:tplc="B5D896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B20CA0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E476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926B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46E88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89046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544CE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B205D2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568DE0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9E73FE"/>
    <w:multiLevelType w:val="hybridMultilevel"/>
    <w:tmpl w:val="4FC80554"/>
    <w:lvl w:ilvl="0" w:tplc="C324C3A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970A6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B400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B0854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B0047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59C12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100AD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9B649B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4A80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CE3EF4"/>
    <w:multiLevelType w:val="hybridMultilevel"/>
    <w:tmpl w:val="B71C5AC6"/>
    <w:lvl w:ilvl="0" w:tplc="F85A40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D3CB4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3880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ACA68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258356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78079C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784C6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F462D6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07E57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3B09D8"/>
    <w:multiLevelType w:val="hybridMultilevel"/>
    <w:tmpl w:val="9A1469D0"/>
    <w:lvl w:ilvl="0" w:tplc="DA8CC3A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76AB4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B422B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BC58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5FE5A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F2CD64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7D847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0E8661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EA102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383018"/>
    <w:multiLevelType w:val="hybridMultilevel"/>
    <w:tmpl w:val="714020B0"/>
    <w:lvl w:ilvl="0" w:tplc="87DC7D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40259C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81CD02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CC6C3D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12BB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D04E0D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B9A35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C3416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E5633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F935BD"/>
    <w:multiLevelType w:val="hybridMultilevel"/>
    <w:tmpl w:val="AEDCBA0A"/>
    <w:lvl w:ilvl="0" w:tplc="A028B79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5099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15AE6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CA0DF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B9A59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4ECAB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3A4EAF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154D8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923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B03FC3"/>
    <w:multiLevelType w:val="hybridMultilevel"/>
    <w:tmpl w:val="9746CF5C"/>
    <w:lvl w:ilvl="0" w:tplc="93D26A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0C299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3CEEFA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D8859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AD828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81875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CF890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BB6393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59C56B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51"/>
    <w:rsid w:val="000578B6"/>
    <w:rsid w:val="000C0645"/>
    <w:rsid w:val="000C7163"/>
    <w:rsid w:val="000F775A"/>
    <w:rsid w:val="00134DB2"/>
    <w:rsid w:val="00143C59"/>
    <w:rsid w:val="001C3179"/>
    <w:rsid w:val="001D7B31"/>
    <w:rsid w:val="001E6F78"/>
    <w:rsid w:val="00223F5B"/>
    <w:rsid w:val="002268A2"/>
    <w:rsid w:val="00237206"/>
    <w:rsid w:val="00271A2C"/>
    <w:rsid w:val="002A14FF"/>
    <w:rsid w:val="0031184E"/>
    <w:rsid w:val="00364E25"/>
    <w:rsid w:val="0039702D"/>
    <w:rsid w:val="003F0B93"/>
    <w:rsid w:val="00433C70"/>
    <w:rsid w:val="0046069D"/>
    <w:rsid w:val="00466E01"/>
    <w:rsid w:val="004674AD"/>
    <w:rsid w:val="00472575"/>
    <w:rsid w:val="00474679"/>
    <w:rsid w:val="004A5780"/>
    <w:rsid w:val="004A69FA"/>
    <w:rsid w:val="004E43E0"/>
    <w:rsid w:val="005249D2"/>
    <w:rsid w:val="00550598"/>
    <w:rsid w:val="005538E8"/>
    <w:rsid w:val="00585E25"/>
    <w:rsid w:val="005E052F"/>
    <w:rsid w:val="006243B6"/>
    <w:rsid w:val="00627BDC"/>
    <w:rsid w:val="0064742A"/>
    <w:rsid w:val="00660A81"/>
    <w:rsid w:val="006650C4"/>
    <w:rsid w:val="006C7087"/>
    <w:rsid w:val="006D7C69"/>
    <w:rsid w:val="0070293B"/>
    <w:rsid w:val="00766C12"/>
    <w:rsid w:val="007728B7"/>
    <w:rsid w:val="00797669"/>
    <w:rsid w:val="007B154C"/>
    <w:rsid w:val="007C0405"/>
    <w:rsid w:val="007D5DD3"/>
    <w:rsid w:val="007E2765"/>
    <w:rsid w:val="008024F6"/>
    <w:rsid w:val="008431FB"/>
    <w:rsid w:val="008435A5"/>
    <w:rsid w:val="0085101B"/>
    <w:rsid w:val="00857FA1"/>
    <w:rsid w:val="008C1B0A"/>
    <w:rsid w:val="008D7812"/>
    <w:rsid w:val="008E6D33"/>
    <w:rsid w:val="0098058F"/>
    <w:rsid w:val="009F1D2B"/>
    <w:rsid w:val="00A021C4"/>
    <w:rsid w:val="00A07989"/>
    <w:rsid w:val="00A14249"/>
    <w:rsid w:val="00A27FBC"/>
    <w:rsid w:val="00A77076"/>
    <w:rsid w:val="00AC6A3A"/>
    <w:rsid w:val="00AF1084"/>
    <w:rsid w:val="00B5275A"/>
    <w:rsid w:val="00BF23DE"/>
    <w:rsid w:val="00C05E9E"/>
    <w:rsid w:val="00C06B00"/>
    <w:rsid w:val="00C22E38"/>
    <w:rsid w:val="00C33EB4"/>
    <w:rsid w:val="00C479A2"/>
    <w:rsid w:val="00C72C04"/>
    <w:rsid w:val="00C95F5A"/>
    <w:rsid w:val="00CE53E7"/>
    <w:rsid w:val="00CF6AE0"/>
    <w:rsid w:val="00CF7C58"/>
    <w:rsid w:val="00D12351"/>
    <w:rsid w:val="00D12E4E"/>
    <w:rsid w:val="00D20F79"/>
    <w:rsid w:val="00D4138E"/>
    <w:rsid w:val="00D42DCA"/>
    <w:rsid w:val="00D43C4E"/>
    <w:rsid w:val="00D538BB"/>
    <w:rsid w:val="00D80BB0"/>
    <w:rsid w:val="00DD2935"/>
    <w:rsid w:val="00E1329E"/>
    <w:rsid w:val="00E37519"/>
    <w:rsid w:val="00E7320B"/>
    <w:rsid w:val="00EB7AD4"/>
    <w:rsid w:val="00EB7E71"/>
    <w:rsid w:val="00EC7D4E"/>
    <w:rsid w:val="00F03075"/>
    <w:rsid w:val="00F05CD9"/>
    <w:rsid w:val="00F50D8A"/>
    <w:rsid w:val="00F62A8F"/>
    <w:rsid w:val="00F6359A"/>
    <w:rsid w:val="00F64CA7"/>
    <w:rsid w:val="00FB2AA5"/>
    <w:rsid w:val="00FB4127"/>
    <w:rsid w:val="00FC5E1B"/>
    <w:rsid w:val="00FC658E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CDE"/>
  <w15:docId w15:val="{8DC93060-2C45-49E6-9242-5B4969B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F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8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</w:style>
  <w:style w:type="character" w:customStyle="1" w:styleId="15">
    <w:name w:val="Строгий1"/>
    <w:uiPriority w:val="22"/>
    <w:qFormat/>
    <w:rPr>
      <w:b/>
      <w:bCs/>
    </w:rPr>
  </w:style>
  <w:style w:type="paragraph" w:customStyle="1" w:styleId="afd">
    <w:name w:val="Без интервала Знак Знак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</w:style>
  <w:style w:type="table" w:customStyle="1" w:styleId="25">
    <w:name w:val="Сетка таблицы2"/>
    <w:basedOn w:val="a1"/>
    <w:next w:val="af8"/>
    <w:uiPriority w:val="39"/>
    <w:rsid w:val="0047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Левицкая Наталья Викторовна</dc:creator>
  <cp:keywords/>
  <dc:description/>
  <cp:lastModifiedBy>Табунщикова Наталья Вячеславовна</cp:lastModifiedBy>
  <cp:revision>38</cp:revision>
  <cp:lastPrinted>2026-04-21T10:48:00Z</cp:lastPrinted>
  <dcterms:created xsi:type="dcterms:W3CDTF">2025-03-17T06:12:00Z</dcterms:created>
  <dcterms:modified xsi:type="dcterms:W3CDTF">2026-04-23T04:55:00Z</dcterms:modified>
</cp:coreProperties>
</file>