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BC" w:rsidRDefault="006C32BC" w:rsidP="006C32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0068" wp14:editId="221A7D4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515099" cy="9411334"/>
                <wp:effectExtent l="38100" t="38100" r="38735" b="381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099" cy="9411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города Нижневартовска</w:t>
                            </w: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512845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512845" w:rsidRPr="00512845" w:rsidRDefault="000D196A" w:rsidP="0051284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  <w:t>ТИПОВОЙ ПЛАН</w:t>
                            </w:r>
                            <w:bookmarkStart w:id="0" w:name="_GoBack"/>
                            <w:bookmarkEnd w:id="0"/>
                          </w:p>
                          <w:p w:rsidR="00512845" w:rsidRPr="00F644C1" w:rsidRDefault="00512845" w:rsidP="00512845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32"/>
                                <w:szCs w:val="32"/>
                              </w:rPr>
                            </w:pPr>
                          </w:p>
                          <w:p w:rsidR="006C32BC" w:rsidRPr="00512845" w:rsidRDefault="00512845" w:rsidP="00512845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28"/>
                                <w:szCs w:val="28"/>
                              </w:rPr>
                            </w:pPr>
                            <w:r w:rsidRPr="005128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 организации взаимодействия</w:t>
                            </w:r>
                            <w:r w:rsidR="006C32BC" w:rsidRPr="00512845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 xml:space="preserve">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</w:t>
                            </w:r>
                            <w:r w:rsidR="00130E35" w:rsidRPr="00512845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>у</w:t>
                            </w:r>
                          </w:p>
                          <w:p w:rsidR="006C32BC" w:rsidRPr="00512845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12845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>для образовательных учреждений</w:t>
                            </w: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6C32BC" w:rsidRPr="00E63236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Нижневартовск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21</w:t>
                            </w: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6006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pt;width:513pt;height:7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" strokeweight="5.75pt">
                <v:stroke linestyle="thickThin"/>
                <v:textbox>
                  <w:txbxContent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Аппарат Антитеррористической комиссии 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города Нижневартовска</w:t>
                      </w: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512845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512845" w:rsidRPr="00512845" w:rsidRDefault="000D196A" w:rsidP="0051284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  <w:t>ТИПОВОЙ ПЛАН</w:t>
                      </w:r>
                      <w:bookmarkStart w:id="1" w:name="_GoBack"/>
                      <w:bookmarkEnd w:id="1"/>
                    </w:p>
                    <w:p w:rsidR="00512845" w:rsidRPr="00F644C1" w:rsidRDefault="00512845" w:rsidP="00512845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32"/>
                          <w:szCs w:val="32"/>
                        </w:rPr>
                      </w:pPr>
                    </w:p>
                    <w:p w:rsidR="006C32BC" w:rsidRPr="00512845" w:rsidRDefault="00512845" w:rsidP="00512845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28"/>
                          <w:szCs w:val="28"/>
                        </w:rPr>
                      </w:pPr>
                      <w:r w:rsidRPr="005128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 организации взаимодействия</w:t>
                      </w:r>
                      <w:r w:rsidR="006C32BC" w:rsidRPr="00512845">
                        <w:rPr>
                          <w:rStyle w:val="FontStyle33"/>
                          <w:sz w:val="28"/>
                          <w:szCs w:val="28"/>
                        </w:rPr>
                        <w:t xml:space="preserve">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</w:t>
                      </w:r>
                      <w:r w:rsidR="00130E35" w:rsidRPr="00512845">
                        <w:rPr>
                          <w:rStyle w:val="FontStyle33"/>
                          <w:sz w:val="28"/>
                          <w:szCs w:val="28"/>
                        </w:rPr>
                        <w:t>у</w:t>
                      </w:r>
                    </w:p>
                    <w:p w:rsidR="006C32BC" w:rsidRPr="00512845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12845">
                        <w:rPr>
                          <w:rStyle w:val="FontStyle33"/>
                          <w:sz w:val="28"/>
                          <w:szCs w:val="28"/>
                        </w:rPr>
                        <w:t>для образовательных учреждений</w:t>
                      </w: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6C32BC" w:rsidRPr="00E63236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 Нижневартовск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21</w:t>
                      </w: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Default="00914CE8" w:rsidP="00914CE8">
      <w:pPr>
        <w:pStyle w:val="ConsPlusNonformat"/>
        <w:ind w:right="143"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2862BA" w:rsidRDefault="00914CE8" w:rsidP="002862B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по </w:t>
      </w:r>
      <w:r w:rsidR="002862BA">
        <w:rPr>
          <w:rFonts w:ascii="Times New Roman" w:hAnsi="Times New Roman" w:cs="Times New Roman"/>
          <w:sz w:val="24"/>
          <w:szCs w:val="24"/>
        </w:rPr>
        <w:t>___________</w:t>
      </w:r>
    </w:p>
    <w:p w:rsidR="00CA64EA" w:rsidRDefault="00CA64EA" w:rsidP="00CA64E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8D3A3E" w:rsidRDefault="008D3A3E" w:rsidP="008D3A3E">
      <w:pPr>
        <w:pStyle w:val="ConsPlusNonformat"/>
        <w:ind w:right="143"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УТВЕРЖДАЮ  </w:t>
      </w:r>
    </w:p>
    <w:p w:rsidR="008D3A3E" w:rsidRDefault="008D3A3E" w:rsidP="008D3A3E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D3A3E" w:rsidRDefault="008D3A3E" w:rsidP="008D3A3E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</w:p>
    <w:p w:rsidR="008D3A3E" w:rsidRPr="005A6310" w:rsidRDefault="008D3A3E" w:rsidP="008D3A3E">
      <w:pPr>
        <w:pStyle w:val="ConsPlusNonformat"/>
        <w:jc w:val="right"/>
      </w:pPr>
      <w:r w:rsidRPr="005A6310">
        <w:rPr>
          <w:rFonts w:ascii="Times New Roman" w:hAnsi="Times New Roman" w:cs="Times New Roman"/>
          <w:sz w:val="24"/>
          <w:szCs w:val="24"/>
        </w:rPr>
        <w:t>__________ _______________</w:t>
      </w:r>
    </w:p>
    <w:p w:rsidR="008D3A3E" w:rsidRDefault="008D3A3E" w:rsidP="008D3A3E">
      <w:pPr>
        <w:pStyle w:val="ConsPlusNonformat"/>
        <w:ind w:left="6372" w:firstLine="708"/>
      </w:pPr>
      <w:r>
        <w:rPr>
          <w:rFonts w:ascii="Times New Roman" w:hAnsi="Times New Roman" w:cs="Times New Roman"/>
          <w:szCs w:val="24"/>
        </w:rPr>
        <w:t xml:space="preserve">    подпись    </w:t>
      </w:r>
      <w:r>
        <w:rPr>
          <w:rFonts w:ascii="Times New Roman" w:hAnsi="Times New Roman" w:cs="Times New Roman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Cs w:val="24"/>
        </w:rPr>
        <w:t>ф.и.о.</w:t>
      </w:r>
      <w:proofErr w:type="spellEnd"/>
      <w:r>
        <w:rPr>
          <w:rFonts w:ascii="Times New Roman" w:hAnsi="Times New Roman" w:cs="Times New Roman"/>
          <w:szCs w:val="24"/>
        </w:rPr>
        <w:t>)</w:t>
      </w:r>
    </w:p>
    <w:p w:rsidR="008D3A3E" w:rsidRDefault="008D3A3E" w:rsidP="008D3A3E">
      <w:pPr>
        <w:pStyle w:val="ConsPlusNonformat"/>
        <w:ind w:right="143" w:firstLine="284"/>
        <w:jc w:val="right"/>
      </w:pPr>
      <w:r>
        <w:rPr>
          <w:rFonts w:ascii="Times New Roman" w:hAnsi="Times New Roman"/>
          <w:sz w:val="24"/>
          <w:szCs w:val="24"/>
        </w:rPr>
        <w:t>_____ ___________ 20___ г.</w:t>
      </w:r>
    </w:p>
    <w:p w:rsidR="00CA64EA" w:rsidRDefault="00CA64EA" w:rsidP="00CA64EA">
      <w:pPr>
        <w:pStyle w:val="ConsPlusNonformat"/>
        <w:ind w:right="143" w:firstLine="284"/>
        <w:jc w:val="right"/>
      </w:pPr>
    </w:p>
    <w:p w:rsidR="00914CE8" w:rsidRDefault="00914CE8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10"/>
        <w:gridCol w:w="3419"/>
        <w:gridCol w:w="3452"/>
      </w:tblGrid>
      <w:tr w:rsidR="00914CE8" w:rsidTr="00AA22AE">
        <w:tc>
          <w:tcPr>
            <w:tcW w:w="3410" w:type="dxa"/>
            <w:shd w:val="clear" w:color="auto" w:fill="auto"/>
          </w:tcPr>
          <w:p w:rsidR="00914CE8" w:rsidRPr="005A6310" w:rsidRDefault="00914CE8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862BA" w:rsidRDefault="005A6310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второго отдела </w:t>
            </w:r>
            <w:r w:rsidRPr="005A63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дислокацией </w:t>
            </w:r>
            <w:r w:rsidRPr="005A63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г. Нижневартовске) Службы </w:t>
            </w:r>
            <w:r w:rsidRPr="005A6310">
              <w:rPr>
                <w:rFonts w:ascii="Times New Roman" w:hAnsi="Times New Roman" w:cs="Times New Roman"/>
                <w:sz w:val="24"/>
                <w:szCs w:val="24"/>
              </w:rPr>
              <w:br/>
              <w:t>по Ханты-Мансийскому автономному округу РУ ФСБ России по Тюменской области</w:t>
            </w:r>
          </w:p>
          <w:p w:rsidR="00613403" w:rsidRDefault="00613403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Pr="005A6310" w:rsidRDefault="00613403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E8" w:rsidRPr="005A6310" w:rsidRDefault="005A6310" w:rsidP="005A6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CE8" w:rsidRPr="005A6310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2862BA" w:rsidRPr="005A63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14CE8" w:rsidRPr="005A6310" w:rsidRDefault="005A6310" w:rsidP="005A63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14CE8" w:rsidRPr="005A6310">
              <w:rPr>
                <w:rFonts w:ascii="Times New Roman" w:hAnsi="Times New Roman" w:cs="Times New Roman"/>
              </w:rPr>
              <w:t xml:space="preserve">подпись    </w:t>
            </w:r>
            <w:r w:rsidR="00914CE8" w:rsidRPr="005A631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="00914CE8" w:rsidRPr="005A631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914CE8" w:rsidRPr="005A6310">
              <w:rPr>
                <w:rFonts w:ascii="Times New Roman" w:hAnsi="Times New Roman" w:cs="Times New Roman"/>
              </w:rPr>
              <w:t>ф.и.о.</w:t>
            </w:r>
            <w:proofErr w:type="spellEnd"/>
            <w:r w:rsidR="00914CE8" w:rsidRPr="005A6310">
              <w:rPr>
                <w:rFonts w:ascii="Times New Roman" w:hAnsi="Times New Roman" w:cs="Times New Roman"/>
              </w:rPr>
              <w:t>)</w:t>
            </w:r>
          </w:p>
          <w:p w:rsidR="00914CE8" w:rsidRPr="005A6310" w:rsidRDefault="00914CE8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_____ ____________ 20</w:t>
            </w:r>
            <w:r w:rsidR="005A63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14CE8" w:rsidRPr="005A6310" w:rsidRDefault="00914CE8" w:rsidP="005A631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914CE8" w:rsidRDefault="00914CE8" w:rsidP="00AA22AE">
            <w:pPr>
              <w:pStyle w:val="ConsPlusNonformat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A6310" w:rsidRPr="005A6310" w:rsidRDefault="005A6310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5A6310" w:rsidRPr="005A6310" w:rsidRDefault="005A6310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</w:t>
            </w:r>
          </w:p>
          <w:p w:rsidR="005A6310" w:rsidRPr="005A6310" w:rsidRDefault="005A6310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14CE8" w:rsidRPr="005A6310" w:rsidRDefault="005A6310" w:rsidP="005A63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по городу Нижневартовску</w:t>
            </w:r>
          </w:p>
          <w:p w:rsidR="005A6310" w:rsidRDefault="005A6310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10" w:rsidRDefault="005A6310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03" w:rsidRDefault="00613403" w:rsidP="002862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E8" w:rsidRPr="005A6310" w:rsidRDefault="00914CE8" w:rsidP="002862BA">
            <w:pPr>
              <w:pStyle w:val="ConsPlusNonformat"/>
            </w:pP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2862BA" w:rsidRPr="005A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862BA" w:rsidRPr="005A631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14CE8" w:rsidRDefault="005A6310" w:rsidP="002862BA">
            <w:pPr>
              <w:pStyle w:val="ConsPlusNonformat"/>
            </w:pPr>
            <w:r>
              <w:rPr>
                <w:rFonts w:ascii="Times New Roman" w:hAnsi="Times New Roman" w:cs="Times New Roman"/>
                <w:szCs w:val="24"/>
              </w:rPr>
              <w:t xml:space="preserve">     подпись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 w:rsidR="00914CE8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gramStart"/>
            <w:r w:rsidR="00914CE8">
              <w:rPr>
                <w:rFonts w:ascii="Times New Roman" w:hAnsi="Times New Roman" w:cs="Times New Roman"/>
                <w:szCs w:val="24"/>
              </w:rPr>
              <w:t xml:space="preserve">   (</w:t>
            </w:r>
            <w:proofErr w:type="spellStart"/>
            <w:proofErr w:type="gramEnd"/>
            <w:r w:rsidR="00914CE8">
              <w:rPr>
                <w:rFonts w:ascii="Times New Roman" w:hAnsi="Times New Roman" w:cs="Times New Roman"/>
                <w:szCs w:val="24"/>
              </w:rPr>
              <w:t>ф.и.о.</w:t>
            </w:r>
            <w:proofErr w:type="spellEnd"/>
            <w:r w:rsidR="00914CE8">
              <w:rPr>
                <w:rFonts w:ascii="Times New Roman" w:hAnsi="Times New Roman" w:cs="Times New Roman"/>
                <w:szCs w:val="24"/>
              </w:rPr>
              <w:t>)</w:t>
            </w:r>
          </w:p>
          <w:p w:rsidR="00914CE8" w:rsidRDefault="00914CE8" w:rsidP="002862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 ____________ 20</w:t>
            </w:r>
            <w:r w:rsidR="005A6310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14CE8" w:rsidRDefault="00914CE8" w:rsidP="00AA22AE">
            <w:pPr>
              <w:pStyle w:val="ConsPlusNonformat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shd w:val="clear" w:color="auto" w:fill="auto"/>
          </w:tcPr>
          <w:p w:rsidR="00914CE8" w:rsidRDefault="00914CE8" w:rsidP="002862B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14CE8" w:rsidRDefault="005A6310" w:rsidP="005A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1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5A6310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5A6310">
              <w:rPr>
                <w:rFonts w:ascii="Times New Roman" w:hAnsi="Times New Roman"/>
                <w:sz w:val="24"/>
                <w:szCs w:val="24"/>
              </w:rPr>
              <w:t xml:space="preserve"> межмуниципального отдела вневедомственной охраны - филиала Федерального государственного казенного учреждения </w:t>
            </w:r>
            <w:r w:rsidR="006C2EE5">
              <w:rPr>
                <w:rFonts w:ascii="Times New Roman" w:hAnsi="Times New Roman"/>
                <w:sz w:val="24"/>
                <w:szCs w:val="24"/>
              </w:rPr>
              <w:t>"</w:t>
            </w:r>
            <w:r w:rsidRPr="005A6310">
              <w:rPr>
                <w:rFonts w:ascii="Times New Roman" w:hAnsi="Times New Roman"/>
                <w:sz w:val="24"/>
                <w:szCs w:val="24"/>
              </w:rPr>
              <w:t>Управление вневедомственной охраны войск национальной гвардии Российской Федерации по</w:t>
            </w:r>
            <w:r w:rsidR="003456B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310">
              <w:rPr>
                <w:rFonts w:ascii="Times New Roman" w:hAnsi="Times New Roman"/>
                <w:sz w:val="24"/>
                <w:szCs w:val="24"/>
              </w:rPr>
              <w:t>ХМАО – Югре</w:t>
            </w:r>
            <w:r w:rsidR="006C2EE5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914CE8" w:rsidRDefault="00914CE8" w:rsidP="002862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2862BA"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  <w:p w:rsidR="00914CE8" w:rsidRPr="005A6310" w:rsidRDefault="005A6310" w:rsidP="005A63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914CE8" w:rsidRPr="005A6310">
              <w:rPr>
                <w:rFonts w:ascii="Times New Roman" w:hAnsi="Times New Roman"/>
                <w:sz w:val="20"/>
                <w:szCs w:val="20"/>
              </w:rPr>
              <w:t xml:space="preserve">подпись        </w:t>
            </w:r>
            <w:r w:rsidR="00914CE8" w:rsidRPr="005A6310">
              <w:rPr>
                <w:rFonts w:ascii="Times New Roman" w:hAnsi="Times New Roman"/>
                <w:sz w:val="20"/>
                <w:szCs w:val="20"/>
              </w:rPr>
              <w:tab/>
              <w:t>(</w:t>
            </w:r>
            <w:proofErr w:type="spellStart"/>
            <w:r w:rsidR="00914CE8" w:rsidRPr="005A6310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="00914CE8" w:rsidRPr="005A63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14CE8" w:rsidRDefault="005A6310" w:rsidP="002862B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CE8">
              <w:rPr>
                <w:rFonts w:ascii="Times New Roman" w:hAnsi="Times New Roman"/>
                <w:sz w:val="24"/>
                <w:szCs w:val="24"/>
              </w:rPr>
              <w:t>_____ ____________ 20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914C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14CE8" w:rsidRDefault="00914CE8" w:rsidP="002862BA">
            <w:pPr>
              <w:pStyle w:val="ConsPlusNonformat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CE8" w:rsidRDefault="00914CE8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Default="00914CE8" w:rsidP="00914CE8">
      <w:pPr>
        <w:pStyle w:val="Style7"/>
        <w:widowControl/>
        <w:spacing w:before="120" w:line="276" w:lineRule="auto"/>
        <w:ind w:right="10"/>
      </w:pPr>
      <w:r>
        <w:rPr>
          <w:rStyle w:val="FontStyle33"/>
          <w:sz w:val="28"/>
        </w:rPr>
        <w:t>ПЛАН</w:t>
      </w:r>
    </w:p>
    <w:p w:rsidR="00914CE8" w:rsidRDefault="00914CE8" w:rsidP="00914CE8">
      <w:pPr>
        <w:pStyle w:val="Style8"/>
        <w:widowControl/>
        <w:pBdr>
          <w:bottom w:val="single" w:sz="12" w:space="1" w:color="auto"/>
        </w:pBdr>
        <w:spacing w:before="120" w:line="276" w:lineRule="auto"/>
        <w:rPr>
          <w:rStyle w:val="FontStyle33"/>
          <w:sz w:val="28"/>
        </w:rPr>
      </w:pPr>
      <w:r>
        <w:rPr>
          <w:rStyle w:val="FontStyle33"/>
          <w:sz w:val="28"/>
        </w:rPr>
        <w:t>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</w:r>
    </w:p>
    <w:p w:rsidR="00D71762" w:rsidRDefault="00D71762" w:rsidP="00914CE8">
      <w:pPr>
        <w:pStyle w:val="Style8"/>
        <w:widowControl/>
        <w:pBdr>
          <w:bottom w:val="single" w:sz="12" w:space="1" w:color="auto"/>
        </w:pBdr>
        <w:spacing w:before="120" w:line="276" w:lineRule="auto"/>
      </w:pPr>
    </w:p>
    <w:p w:rsidR="00914CE8" w:rsidRPr="002862BA" w:rsidRDefault="002862BA" w:rsidP="002862BA">
      <w:pPr>
        <w:pStyle w:val="Style8"/>
        <w:widowControl/>
        <w:spacing w:line="240" w:lineRule="exact"/>
        <w:rPr>
          <w:b/>
        </w:rPr>
      </w:pPr>
      <w:r w:rsidRPr="002862BA">
        <w:rPr>
          <w:rStyle w:val="FontStyle33"/>
          <w:b w:val="0"/>
          <w:sz w:val="24"/>
          <w:szCs w:val="24"/>
        </w:rPr>
        <w:t>(наименование образовательной организации)</w:t>
      </w:r>
      <w:r w:rsidR="00914CE8" w:rsidRPr="002862BA">
        <w:rPr>
          <w:rStyle w:val="FontStyle33"/>
          <w:b w:val="0"/>
          <w:sz w:val="28"/>
        </w:rPr>
        <w:t xml:space="preserve"> </w:t>
      </w:r>
    </w:p>
    <w:p w:rsidR="00914CE8" w:rsidRDefault="00914CE8" w:rsidP="00914CE8"/>
    <w:p w:rsidR="00914CE8" w:rsidRDefault="00914CE8" w:rsidP="00914CE8">
      <w:pPr>
        <w:sectPr w:rsidR="00914CE8">
          <w:footerReference w:type="default" r:id="rId7"/>
          <w:pgSz w:w="11906" w:h="16838"/>
          <w:pgMar w:top="851" w:right="707" w:bottom="1134" w:left="1134" w:header="720" w:footer="709" w:gutter="0"/>
          <w:cols w:space="720"/>
          <w:titlePg/>
          <w:docGrid w:linePitch="360"/>
        </w:sectPr>
      </w:pPr>
    </w:p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CA64EA" w:rsidRDefault="00CA64EA" w:rsidP="002862BA">
      <w:pPr>
        <w:jc w:val="center"/>
        <w:rPr>
          <w:rFonts w:ascii="Times New Roman" w:hAnsi="Times New Roman"/>
        </w:rPr>
      </w:pPr>
    </w:p>
    <w:p w:rsidR="00914CE8" w:rsidRPr="00A96834" w:rsidRDefault="002862BA" w:rsidP="002862B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6834">
        <w:rPr>
          <w:rFonts w:ascii="Times New Roman" w:hAnsi="Times New Roman"/>
          <w:sz w:val="28"/>
          <w:szCs w:val="28"/>
        </w:rPr>
        <w:t>г.</w:t>
      </w:r>
      <w:r w:rsidR="00394223" w:rsidRPr="00A96834">
        <w:rPr>
          <w:rFonts w:ascii="Times New Roman" w:hAnsi="Times New Roman"/>
          <w:sz w:val="28"/>
          <w:szCs w:val="28"/>
        </w:rPr>
        <w:t>Нижневартовск</w:t>
      </w:r>
      <w:proofErr w:type="spellEnd"/>
      <w:r w:rsidRPr="00A96834">
        <w:rPr>
          <w:rFonts w:ascii="Times New Roman" w:hAnsi="Times New Roman"/>
          <w:sz w:val="28"/>
          <w:szCs w:val="28"/>
        </w:rPr>
        <w:t>, 20</w:t>
      </w:r>
      <w:r w:rsidR="00394223" w:rsidRPr="00A96834">
        <w:rPr>
          <w:rFonts w:ascii="Times New Roman" w:hAnsi="Times New Roman"/>
          <w:sz w:val="28"/>
          <w:szCs w:val="28"/>
        </w:rPr>
        <w:t>___</w:t>
      </w:r>
    </w:p>
    <w:p w:rsidR="00D71762" w:rsidRDefault="00D71762" w:rsidP="00914CE8">
      <w:pPr>
        <w:pStyle w:val="Style8"/>
        <w:widowControl/>
        <w:spacing w:line="240" w:lineRule="auto"/>
        <w:ind w:right="19"/>
        <w:rPr>
          <w:rStyle w:val="FontStyle33"/>
        </w:rPr>
      </w:pPr>
    </w:p>
    <w:p w:rsidR="00914CE8" w:rsidRDefault="00914CE8" w:rsidP="00F278D8">
      <w:pPr>
        <w:pStyle w:val="Style8"/>
        <w:widowControl/>
        <w:numPr>
          <w:ilvl w:val="0"/>
          <w:numId w:val="7"/>
        </w:numPr>
        <w:spacing w:line="240" w:lineRule="auto"/>
        <w:ind w:right="19"/>
        <w:rPr>
          <w:rStyle w:val="FontStyle33"/>
          <w:sz w:val="28"/>
          <w:szCs w:val="28"/>
        </w:rPr>
      </w:pPr>
      <w:r w:rsidRPr="00A96834">
        <w:rPr>
          <w:rStyle w:val="FontStyle33"/>
          <w:sz w:val="28"/>
          <w:szCs w:val="28"/>
        </w:rPr>
        <w:t>ОБЩИЕ ПОЛОЖЕНИЯ</w:t>
      </w:r>
    </w:p>
    <w:p w:rsidR="00F278D8" w:rsidRPr="00A96834" w:rsidRDefault="00F278D8" w:rsidP="00F278D8">
      <w:pPr>
        <w:pStyle w:val="Style8"/>
        <w:widowControl/>
        <w:spacing w:line="240" w:lineRule="auto"/>
        <w:ind w:left="1080" w:right="19"/>
        <w:jc w:val="left"/>
        <w:rPr>
          <w:sz w:val="28"/>
          <w:szCs w:val="28"/>
        </w:rPr>
      </w:pPr>
    </w:p>
    <w:p w:rsidR="00847F8D" w:rsidRDefault="00914CE8" w:rsidP="00F278D8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rPr>
          <w:rStyle w:val="FontStyle28"/>
          <w:sz w:val="28"/>
          <w:szCs w:val="28"/>
        </w:rPr>
      </w:pPr>
      <w:r w:rsidRPr="004E3EEE">
        <w:rPr>
          <w:rStyle w:val="FontStyle28"/>
          <w:sz w:val="28"/>
          <w:szCs w:val="28"/>
        </w:rPr>
        <w:t xml:space="preserve">Настоящий План взаимодействия </w:t>
      </w:r>
      <w:r w:rsidR="004E3EEE">
        <w:rPr>
          <w:rStyle w:val="FontStyle28"/>
          <w:sz w:val="28"/>
          <w:szCs w:val="28"/>
        </w:rPr>
        <w:t xml:space="preserve">с </w:t>
      </w:r>
      <w:r w:rsidR="004E3EEE" w:rsidRPr="004E3EEE">
        <w:rPr>
          <w:sz w:val="28"/>
          <w:szCs w:val="28"/>
        </w:rPr>
        <w:t>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</w:t>
      </w:r>
      <w:r w:rsidR="004E3EEE">
        <w:rPr>
          <w:sz w:val="28"/>
          <w:szCs w:val="28"/>
        </w:rPr>
        <w:t xml:space="preserve"> </w:t>
      </w:r>
      <w:r w:rsidRPr="004E3EEE">
        <w:rPr>
          <w:rStyle w:val="FontStyle28"/>
          <w:sz w:val="28"/>
          <w:szCs w:val="28"/>
        </w:rPr>
        <w:t xml:space="preserve">(далее - План взаимодействия) </w:t>
      </w:r>
      <w:r w:rsidR="00A37778" w:rsidRPr="004E3EEE">
        <w:rPr>
          <w:rStyle w:val="FontStyle28"/>
          <w:sz w:val="28"/>
          <w:szCs w:val="28"/>
        </w:rPr>
        <w:t xml:space="preserve">разработан на основании пункта 10, </w:t>
      </w:r>
      <w:r w:rsidR="00847F8D" w:rsidRPr="004E3EEE">
        <w:rPr>
          <w:rStyle w:val="FontStyle28"/>
          <w:sz w:val="28"/>
          <w:szCs w:val="28"/>
        </w:rPr>
        <w:t xml:space="preserve">подпункта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з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пункта 19, подпункта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з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пункта 20, подпункта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а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пункта 21, подпунктов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а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,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н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пункта 24, пункта 39, подпункта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г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пункта 42 </w:t>
      </w:r>
      <w:r w:rsidR="0041179E">
        <w:rPr>
          <w:rStyle w:val="FontStyle28"/>
          <w:sz w:val="28"/>
          <w:szCs w:val="28"/>
        </w:rPr>
        <w:t>т</w:t>
      </w:r>
      <w:r w:rsidR="00A0736B" w:rsidRPr="00117455">
        <w:rPr>
          <w:rStyle w:val="FontStyle28"/>
          <w:sz w:val="28"/>
          <w:szCs w:val="28"/>
        </w:rPr>
        <w:t xml:space="preserve">ребований </w:t>
      </w:r>
      <w:r w:rsidR="00847F8D" w:rsidRPr="004E3EEE">
        <w:rPr>
          <w:rStyle w:val="FontStyle28"/>
          <w:sz w:val="28"/>
          <w:szCs w:val="28"/>
        </w:rPr>
        <w:t>постановлени</w:t>
      </w:r>
      <w:r w:rsidR="00F278D8">
        <w:rPr>
          <w:rStyle w:val="FontStyle28"/>
          <w:sz w:val="28"/>
          <w:szCs w:val="28"/>
        </w:rPr>
        <w:t>я</w:t>
      </w:r>
      <w:r w:rsidR="00847F8D" w:rsidRPr="004E3EEE">
        <w:rPr>
          <w:rStyle w:val="FontStyle28"/>
          <w:sz w:val="28"/>
          <w:szCs w:val="28"/>
        </w:rPr>
        <w:t xml:space="preserve"> Правительства Российской Федерации от 02.08.2019 года №1006 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>Об утверждении требований к</w:t>
      </w:r>
      <w:r w:rsidR="00F278D8">
        <w:rPr>
          <w:rStyle w:val="FontStyle28"/>
          <w:sz w:val="28"/>
          <w:szCs w:val="28"/>
        </w:rPr>
        <w:t> </w:t>
      </w:r>
      <w:r w:rsidR="00847F8D" w:rsidRPr="004E3EEE">
        <w:rPr>
          <w:rStyle w:val="FontStyle28"/>
          <w:sz w:val="28"/>
          <w:szCs w:val="28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</w:t>
      </w:r>
      <w:r w:rsidR="00F278D8">
        <w:rPr>
          <w:rStyle w:val="FontStyle28"/>
          <w:sz w:val="28"/>
          <w:szCs w:val="28"/>
        </w:rPr>
        <w:t> </w:t>
      </w:r>
      <w:r w:rsidR="00847F8D" w:rsidRPr="004E3EEE">
        <w:rPr>
          <w:rStyle w:val="FontStyle28"/>
          <w:sz w:val="28"/>
          <w:szCs w:val="28"/>
        </w:rPr>
        <w:t>сфере деятельности Министерства прос</w:t>
      </w:r>
      <w:r w:rsidR="00F278D8">
        <w:rPr>
          <w:rStyle w:val="FontStyle28"/>
          <w:sz w:val="28"/>
          <w:szCs w:val="28"/>
        </w:rPr>
        <w:t>вещения Российской Федерации, и </w:t>
      </w:r>
      <w:r w:rsidR="00847F8D" w:rsidRPr="004E3EEE">
        <w:rPr>
          <w:rStyle w:val="FontStyle28"/>
          <w:sz w:val="28"/>
          <w:szCs w:val="28"/>
        </w:rPr>
        <w:t>формы паспорта безопасности этих объектов (территорий)</w:t>
      </w:r>
      <w:r w:rsidR="006C2EE5" w:rsidRPr="004E3EEE">
        <w:rPr>
          <w:rStyle w:val="FontStyle28"/>
          <w:sz w:val="28"/>
          <w:szCs w:val="28"/>
        </w:rPr>
        <w:t>"</w:t>
      </w:r>
      <w:r w:rsidR="00847F8D" w:rsidRPr="004E3EEE">
        <w:rPr>
          <w:rStyle w:val="FontStyle28"/>
          <w:sz w:val="28"/>
          <w:szCs w:val="28"/>
        </w:rPr>
        <w:t xml:space="preserve"> (далее - Требования).</w:t>
      </w:r>
    </w:p>
    <w:p w:rsidR="00914CE8" w:rsidRPr="00A96834" w:rsidRDefault="00914CE8" w:rsidP="00F278D8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ind w:right="19"/>
        <w:rPr>
          <w:sz w:val="28"/>
          <w:szCs w:val="28"/>
        </w:rPr>
      </w:pPr>
      <w:r w:rsidRPr="00A96834">
        <w:rPr>
          <w:rStyle w:val="FontStyle28"/>
          <w:sz w:val="28"/>
          <w:szCs w:val="28"/>
        </w:rPr>
        <w:t>Понятия, термины и определения, применяемые в настоящем Плане взаимодействия, используются в значениях, определенных Требованиями.</w:t>
      </w:r>
    </w:p>
    <w:p w:rsidR="002862BA" w:rsidRPr="00A96834" w:rsidRDefault="00914CE8" w:rsidP="00F278D8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ind w:right="10"/>
        <w:rPr>
          <w:rStyle w:val="FontStyle28"/>
          <w:sz w:val="28"/>
          <w:szCs w:val="28"/>
        </w:rPr>
      </w:pPr>
      <w:r w:rsidRPr="00A96834">
        <w:rPr>
          <w:rStyle w:val="FontStyle28"/>
          <w:sz w:val="28"/>
          <w:szCs w:val="28"/>
        </w:rPr>
        <w:t>План взаимодействия разработан в целях обеспечения единого подхода к</w:t>
      </w:r>
      <w:r w:rsidR="00D128E2">
        <w:rPr>
          <w:rStyle w:val="FontStyle28"/>
          <w:sz w:val="28"/>
          <w:szCs w:val="28"/>
        </w:rPr>
        <w:t> </w:t>
      </w:r>
      <w:r w:rsidRPr="00A96834">
        <w:rPr>
          <w:rStyle w:val="FontStyle28"/>
          <w:sz w:val="28"/>
          <w:szCs w:val="28"/>
        </w:rPr>
        <w:t>реализации на</w:t>
      </w:r>
      <w:r w:rsidR="009F7A84">
        <w:rPr>
          <w:rStyle w:val="FontStyle28"/>
          <w:sz w:val="28"/>
          <w:szCs w:val="28"/>
        </w:rPr>
        <w:t xml:space="preserve"> </w:t>
      </w:r>
      <w:r w:rsidR="002862BA" w:rsidRPr="00A96834">
        <w:rPr>
          <w:rStyle w:val="FontStyle28"/>
          <w:sz w:val="28"/>
          <w:szCs w:val="28"/>
        </w:rPr>
        <w:t>________________________</w:t>
      </w:r>
      <w:r w:rsidR="00A96834">
        <w:rPr>
          <w:rStyle w:val="FontStyle28"/>
          <w:sz w:val="28"/>
          <w:szCs w:val="28"/>
        </w:rPr>
        <w:t>___________________</w:t>
      </w:r>
      <w:r w:rsidR="002862BA" w:rsidRPr="00A96834">
        <w:rPr>
          <w:rStyle w:val="FontStyle28"/>
          <w:sz w:val="28"/>
          <w:szCs w:val="28"/>
        </w:rPr>
        <w:t>_ Требований.</w:t>
      </w:r>
    </w:p>
    <w:p w:rsidR="002862BA" w:rsidRDefault="002862BA" w:rsidP="00F278D8">
      <w:pPr>
        <w:pStyle w:val="Style21"/>
        <w:widowControl/>
        <w:tabs>
          <w:tab w:val="left" w:pos="1200"/>
        </w:tabs>
        <w:spacing w:line="400" w:lineRule="exact"/>
        <w:ind w:right="10" w:firstLine="0"/>
        <w:jc w:val="center"/>
        <w:rPr>
          <w:rStyle w:val="FontStyle28"/>
        </w:rPr>
      </w:pPr>
      <w:r w:rsidRPr="002862BA">
        <w:rPr>
          <w:rStyle w:val="FontStyle33"/>
          <w:b w:val="0"/>
          <w:sz w:val="24"/>
          <w:szCs w:val="24"/>
        </w:rPr>
        <w:t>(наименование образовательной организации)</w:t>
      </w:r>
    </w:p>
    <w:p w:rsidR="00914CE8" w:rsidRPr="00A96834" w:rsidRDefault="002862BA" w:rsidP="00F278D8">
      <w:pPr>
        <w:pStyle w:val="Style21"/>
        <w:widowControl/>
        <w:tabs>
          <w:tab w:val="left" w:pos="1200"/>
        </w:tabs>
        <w:spacing w:line="400" w:lineRule="exact"/>
        <w:ind w:left="60" w:right="10" w:firstLine="0"/>
        <w:rPr>
          <w:rStyle w:val="FontStyle28"/>
          <w:sz w:val="28"/>
          <w:szCs w:val="28"/>
        </w:rPr>
      </w:pPr>
      <w:r w:rsidRPr="00A96834">
        <w:rPr>
          <w:rStyle w:val="FontStyle28"/>
          <w:sz w:val="28"/>
          <w:szCs w:val="28"/>
        </w:rPr>
        <w:t>1.4. </w:t>
      </w:r>
      <w:r w:rsidR="00914CE8" w:rsidRPr="00A96834">
        <w:rPr>
          <w:rStyle w:val="FontStyle28"/>
          <w:sz w:val="28"/>
          <w:szCs w:val="28"/>
        </w:rPr>
        <w:t>План взаимодействия подлежит обязательному согласованию с</w:t>
      </w:r>
      <w:r w:rsidR="009F7A84">
        <w:rPr>
          <w:rStyle w:val="FontStyle28"/>
          <w:sz w:val="28"/>
          <w:szCs w:val="28"/>
        </w:rPr>
        <w:t> </w:t>
      </w:r>
      <w:r w:rsidR="00B928CA" w:rsidRPr="004E3EEE">
        <w:rPr>
          <w:sz w:val="28"/>
          <w:szCs w:val="28"/>
        </w:rPr>
        <w:t>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</w:t>
      </w:r>
      <w:r w:rsidR="0085595E">
        <w:rPr>
          <w:rStyle w:val="FontStyle28"/>
          <w:sz w:val="28"/>
          <w:szCs w:val="28"/>
        </w:rPr>
        <w:t xml:space="preserve">, </w:t>
      </w:r>
      <w:r w:rsidR="0085595E" w:rsidRPr="009D6FEF">
        <w:rPr>
          <w:sz w:val="28"/>
          <w:szCs w:val="28"/>
        </w:rPr>
        <w:t>по месту нахождения объекта.</w:t>
      </w:r>
    </w:p>
    <w:p w:rsidR="00914CE8" w:rsidRPr="00A96834" w:rsidRDefault="00914CE8" w:rsidP="00F278D8">
      <w:pPr>
        <w:pStyle w:val="Style21"/>
        <w:widowControl/>
        <w:tabs>
          <w:tab w:val="left" w:pos="1200"/>
        </w:tabs>
        <w:spacing w:line="400" w:lineRule="exact"/>
        <w:ind w:right="5" w:firstLine="0"/>
        <w:rPr>
          <w:rStyle w:val="FontStyle28"/>
          <w:sz w:val="28"/>
          <w:szCs w:val="28"/>
        </w:rPr>
      </w:pPr>
    </w:p>
    <w:p w:rsidR="00914CE8" w:rsidRPr="00A96834" w:rsidRDefault="00914CE8" w:rsidP="00914CE8">
      <w:pPr>
        <w:pStyle w:val="Style21"/>
        <w:widowControl/>
        <w:tabs>
          <w:tab w:val="left" w:pos="1200"/>
        </w:tabs>
        <w:spacing w:line="322" w:lineRule="exact"/>
        <w:ind w:right="5" w:firstLine="0"/>
        <w:rPr>
          <w:sz w:val="28"/>
          <w:szCs w:val="28"/>
        </w:rPr>
      </w:pPr>
    </w:p>
    <w:p w:rsidR="00914CE8" w:rsidRPr="005E45EE" w:rsidRDefault="00914CE8" w:rsidP="00914CE8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5E45EE">
        <w:rPr>
          <w:rFonts w:ascii="Times New Roman" w:hAnsi="Times New Roman"/>
          <w:b/>
          <w:sz w:val="28"/>
          <w:szCs w:val="28"/>
        </w:rPr>
        <w:lastRenderedPageBreak/>
        <w:t>II. ПЛАН ВЗАИМОДЕЙСТВИЯ</w:t>
      </w:r>
    </w:p>
    <w:tbl>
      <w:tblPr>
        <w:tblW w:w="103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1985"/>
        <w:gridCol w:w="1149"/>
      </w:tblGrid>
      <w:tr w:rsidR="00914CE8" w:rsidRPr="00A96834" w:rsidTr="00A26461">
        <w:trPr>
          <w:trHeight w:hRule="exact" w:val="8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Описание, виды и</w:t>
            </w:r>
          </w:p>
          <w:p w:rsidR="00914CE8" w:rsidRPr="005E45EE" w:rsidRDefault="00914CE8" w:rsidP="00AA22AE">
            <w:pPr>
              <w:pStyle w:val="Style20"/>
              <w:widowControl/>
              <w:spacing w:line="240" w:lineRule="auto"/>
              <w:ind w:firstLine="0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способы взаимодействия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914CE8" w:rsidRPr="00A96834" w:rsidTr="00A26461">
        <w:trPr>
          <w:trHeight w:hRule="exact" w:val="3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5</w:t>
            </w:r>
          </w:p>
        </w:tc>
      </w:tr>
      <w:tr w:rsidR="00B964D6" w:rsidRPr="00A96834" w:rsidTr="007A5421">
        <w:trPr>
          <w:trHeight w:hRule="exact" w:val="61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5E45EE" w:rsidRDefault="00B964D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об угрозе совершения или о совершении террористического акта на 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5E45EE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Единая дежурная диспетчерская служба г. Нижневартовска </w:t>
            </w:r>
          </w:p>
          <w:p w:rsidR="00B964D6" w:rsidRPr="005E45EE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5E45EE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Default="007A5421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>
              <w:rPr>
                <w:rStyle w:val="FontStyle31"/>
                <w:rFonts w:eastAsia="Calibri"/>
                <w:sz w:val="24"/>
                <w:szCs w:val="24"/>
              </w:rPr>
              <w:t>Нижневартовский МОВО-</w:t>
            </w:r>
            <w:r w:rsidR="00B964D6" w:rsidRPr="005E45EE">
              <w:rPr>
                <w:rStyle w:val="FontStyle31"/>
                <w:rFonts w:eastAsia="Calibri"/>
                <w:sz w:val="24"/>
                <w:szCs w:val="24"/>
              </w:rPr>
              <w:t>филиала ФГКУ "УВО ВНГ Р</w:t>
            </w:r>
            <w:r>
              <w:rPr>
                <w:rStyle w:val="FontStyle31"/>
                <w:rFonts w:eastAsia="Calibri"/>
                <w:sz w:val="24"/>
                <w:szCs w:val="24"/>
              </w:rPr>
              <w:t>Ф</w:t>
            </w:r>
            <w:r w:rsidR="00B964D6" w:rsidRPr="005E45EE">
              <w:rPr>
                <w:rStyle w:val="FontStyle31"/>
                <w:rFonts w:eastAsia="Calibri"/>
                <w:sz w:val="24"/>
                <w:szCs w:val="24"/>
              </w:rPr>
              <w:t xml:space="preserve"> по ХМАО – Югре".</w:t>
            </w:r>
          </w:p>
          <w:p w:rsidR="005E45EE" w:rsidRPr="005E45EE" w:rsidRDefault="005E45EE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 также путем использования средств тревожной</w:t>
            </w:r>
          </w:p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сигнализации (в 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64D6" w:rsidRPr="005E45EE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В порядке, определенном разделом V Требований</w:t>
            </w:r>
          </w:p>
        </w:tc>
      </w:tr>
      <w:tr w:rsidR="00914CE8" w:rsidRPr="00A96834" w:rsidTr="00A96834">
        <w:trPr>
          <w:trHeight w:hRule="exact" w:val="46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территориальных органов ФСБ России</w:t>
            </w:r>
            <w:r w:rsidR="002862BA" w:rsidRPr="005E45EE">
              <w:rPr>
                <w:rStyle w:val="FontStyle31"/>
                <w:rFonts w:eastAsia="Calibri"/>
                <w:sz w:val="24"/>
                <w:szCs w:val="24"/>
              </w:rPr>
              <w:t>,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 МВД </w:t>
            </w:r>
            <w:r w:rsidR="002862BA" w:rsidRPr="005E45EE">
              <w:rPr>
                <w:rStyle w:val="FontStyle31"/>
                <w:rFonts w:eastAsia="Calibri"/>
                <w:sz w:val="24"/>
                <w:szCs w:val="24"/>
              </w:rPr>
              <w:t xml:space="preserve">России и </w:t>
            </w:r>
            <w:proofErr w:type="spellStart"/>
            <w:r w:rsidR="002862BA" w:rsidRPr="005E45EE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 о</w:t>
            </w:r>
            <w:r w:rsidR="00262B21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914CE8" w:rsidRPr="005E45EE" w:rsidRDefault="007A5421" w:rsidP="007A54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A5421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14CE8" w:rsidRPr="00A96834" w:rsidTr="00A96834">
        <w:trPr>
          <w:trHeight w:hRule="exact" w:val="34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распространению идеологии экстремизма и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Нижневартовску.</w:t>
            </w:r>
          </w:p>
          <w:p w:rsidR="00914CE8" w:rsidRPr="005E45EE" w:rsidRDefault="00914CE8" w:rsidP="00D71762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5E45EE" w:rsidRDefault="00914CE8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520374" w:rsidRPr="00A96834" w:rsidTr="00A96834">
        <w:trPr>
          <w:trHeight w:hRule="exact" w:val="46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262B21">
            <w:pPr>
              <w:pStyle w:val="Style9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нарушения пропускного режима, попытках вноса (ввоза) и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5E45EE" w:rsidRDefault="007A5421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A5421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5E45EE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также путем использования средств тревожной</w:t>
            </w:r>
          </w:p>
          <w:p w:rsidR="00520374" w:rsidRPr="005E45EE" w:rsidRDefault="00520374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сигнализации (в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374" w:rsidRPr="005E45EE" w:rsidRDefault="00520374" w:rsidP="00520374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60106F" w:rsidRPr="00A96834" w:rsidTr="00A96834">
        <w:trPr>
          <w:trHeight w:val="46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5E45EE" w:rsidRDefault="0060106F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5E45EE" w:rsidRDefault="0060106F" w:rsidP="00370B4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5E45EE" w:rsidRDefault="0060106F" w:rsidP="0060106F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60106F" w:rsidRPr="005E45EE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5E45EE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60106F" w:rsidRPr="005E45EE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5E45EE" w:rsidRDefault="007A5421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A5421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5E45EE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06F" w:rsidRPr="005E45EE" w:rsidRDefault="0060106F" w:rsidP="0060106F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E66B1A" w:rsidRPr="00A96834" w:rsidTr="00A96834">
        <w:trPr>
          <w:trHeight w:val="46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5E45EE" w:rsidRDefault="00E66B1A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5E45EE" w:rsidRDefault="00E66B1A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 к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проведению мероприятиях с массовым пребыванием 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5E45EE" w:rsidRDefault="00E66B1A" w:rsidP="00E66B1A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E66B1A" w:rsidRPr="005E45EE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66B1A" w:rsidRPr="005E45EE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5E45EE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E66B1A" w:rsidRPr="005E45EE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66B1A" w:rsidRPr="005E45EE" w:rsidRDefault="007A5421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A5421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5E45EE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14 дней до начала планируемых мероприятий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B1A" w:rsidRPr="005E45EE" w:rsidRDefault="004E3EEE" w:rsidP="004E3EE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>
              <w:rPr>
                <w:rStyle w:val="FontStyle31"/>
                <w:rFonts w:eastAsia="Calibri"/>
                <w:sz w:val="24"/>
                <w:szCs w:val="24"/>
              </w:rPr>
              <w:t>Р</w:t>
            </w:r>
            <w:r w:rsidR="00E66B1A" w:rsidRPr="005E45EE">
              <w:rPr>
                <w:rStyle w:val="FontStyle31"/>
                <w:rFonts w:eastAsia="Calibri"/>
                <w:sz w:val="24"/>
                <w:szCs w:val="24"/>
              </w:rPr>
              <w:t>аспоряжени</w:t>
            </w:r>
            <w:r>
              <w:rPr>
                <w:rStyle w:val="FontStyle31"/>
                <w:rFonts w:eastAsia="Calibri"/>
                <w:sz w:val="24"/>
                <w:szCs w:val="24"/>
              </w:rPr>
              <w:t>е</w:t>
            </w:r>
            <w:r w:rsidR="00E66B1A" w:rsidRPr="005E45EE">
              <w:rPr>
                <w:rStyle w:val="FontStyle31"/>
                <w:rFonts w:eastAsia="Calibri"/>
                <w:sz w:val="24"/>
                <w:szCs w:val="24"/>
              </w:rPr>
              <w:t xml:space="preserve"> Правительства Ханты-Мансийского автономного округа - Югры от 01.06.2012 №311-рп</w:t>
            </w:r>
          </w:p>
        </w:tc>
      </w:tr>
      <w:tr w:rsidR="00262B21" w:rsidRPr="00A96834" w:rsidTr="00197226">
        <w:trPr>
          <w:trHeight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Предупреждение преступлений среди несовершеннолетних и молодежи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На плановой основе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Постоянно</w:t>
            </w:r>
          </w:p>
        </w:tc>
      </w:tr>
      <w:tr w:rsidR="00262B21" w:rsidRPr="00A96834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Обеспечение беспрепятственного доступа на объект (территорию) оперативных подразделений территориальных органов ФСБ России, МВД России и </w:t>
            </w:r>
            <w:proofErr w:type="spellStart"/>
            <w:r w:rsidRPr="005E45EE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E00FE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7A54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A5421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Согласно утвержденной 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на объекте (территории) инструкции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В случае угрозы совершения террористического акта</w:t>
            </w:r>
          </w:p>
        </w:tc>
      </w:tr>
      <w:tr w:rsidR="00262B21" w:rsidRPr="00A96834" w:rsidTr="00A96834">
        <w:trPr>
          <w:trHeight w:val="82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5A39E7" w:rsidP="005A39E7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>
              <w:rPr>
                <w:rStyle w:val="FontStyle31"/>
                <w:rFonts w:eastAsia="Calibri"/>
                <w:sz w:val="24"/>
                <w:szCs w:val="24"/>
              </w:rPr>
              <w:t>Нижневартовский МОВО-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филиала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lastRenderedPageBreak/>
              <w:t>ФГКУ "УВО ВНГ Р</w:t>
            </w:r>
            <w:r>
              <w:rPr>
                <w:rStyle w:val="FontStyle31"/>
                <w:rFonts w:eastAsia="Calibri"/>
                <w:sz w:val="24"/>
                <w:szCs w:val="24"/>
              </w:rPr>
              <w:t>Ф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lastRenderedPageBreak/>
              <w:t>В рамках согласованных и утвержденных планов-графиков.</w:t>
            </w:r>
          </w:p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262B21" w:rsidRPr="00A96834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5A39E7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A39E7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планов проведения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B25A1D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262B21" w:rsidRPr="00A96834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 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5A39E7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A39E7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262B21" w:rsidRPr="00A96834" w:rsidTr="00A96834">
        <w:trPr>
          <w:trHeight w:val="82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Проведение "круглых  столов", занятий, классных часов с учащимися по развитию межконфессионального и межнационального диалога, профилактики преступлений террористической и экстремисткой направленности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5A39E7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A39E7">
              <w:rPr>
                <w:rStyle w:val="FontStyle31"/>
                <w:rFonts w:eastAsia="Calibri"/>
                <w:sz w:val="24"/>
                <w:szCs w:val="24"/>
              </w:rPr>
              <w:lastRenderedPageBreak/>
              <w:t>Нижневартовский МОВО-филиала ФГКУ "УВО ВНГ РФ по ХМАО – Югре".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262B21" w:rsidRPr="00A96834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5A39E7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A39E7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Осуществляется не реже одного раза в 5 лет, а также при изменении:</w:t>
            </w:r>
          </w:p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а) общей площади и периметра объекта (территории);</w:t>
            </w:r>
          </w:p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б) количества критических элементов объекта (территории);</w:t>
            </w:r>
          </w:p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в) мер по инженерно-технической защите объекта (территории).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napToGrid w:val="0"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В порядке, определенном разделом VI Требований</w:t>
            </w:r>
          </w:p>
        </w:tc>
      </w:tr>
      <w:tr w:rsidR="00262B21" w:rsidRPr="00A96834" w:rsidTr="00A96834">
        <w:trPr>
          <w:trHeight w:val="32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 ремонтно-строительных работах на объекте (территории) 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УМВД России по г. Нижневартовску.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14 дней до начала планируемых мероприятий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262B21" w:rsidRPr="00A96834" w:rsidTr="00A26461">
        <w:trPr>
          <w:trHeight w:val="1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370B4D" w:rsidP="00262B21">
            <w:pPr>
              <w:pStyle w:val="Style23"/>
              <w:widowControl/>
              <w:spacing w:line="240" w:lineRule="auto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Осуществление контроля за парковкой транспортных средств </w:t>
            </w:r>
            <w:r>
              <w:rPr>
                <w:rStyle w:val="FontStyle31"/>
                <w:rFonts w:eastAsia="Calibri"/>
                <w:sz w:val="24"/>
                <w:szCs w:val="24"/>
              </w:rPr>
              <w:t xml:space="preserve">на территории прилегающей к 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объект</w:t>
            </w:r>
            <w:r>
              <w:rPr>
                <w:rStyle w:val="FontStyle31"/>
                <w:rFonts w:eastAsia="Calibri"/>
                <w:sz w:val="24"/>
                <w:szCs w:val="24"/>
              </w:rPr>
              <w:t>у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 при проведении массовых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5E45EE" w:rsidRDefault="00262B21" w:rsidP="00262B21">
            <w:pPr>
              <w:pStyle w:val="Style23"/>
              <w:widowControl/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5E45EE" w:rsidRDefault="00262B21" w:rsidP="00262B21">
            <w:pPr>
              <w:pStyle w:val="Style23"/>
              <w:widowControl/>
              <w:spacing w:line="240" w:lineRule="auto"/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Default="00262B21" w:rsidP="00262B21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Перед проведением мероприятий</w:t>
            </w:r>
          </w:p>
          <w:p w:rsidR="005E45EE" w:rsidRPr="005E45EE" w:rsidRDefault="005E45EE" w:rsidP="00262B21">
            <w:pPr>
              <w:pStyle w:val="Style25"/>
              <w:widowControl/>
              <w:snapToGrid w:val="0"/>
            </w:pPr>
          </w:p>
        </w:tc>
      </w:tr>
    </w:tbl>
    <w:p w:rsidR="00262B21" w:rsidRDefault="00262B21" w:rsidP="005D2390">
      <w:pPr>
        <w:pStyle w:val="Style13"/>
        <w:widowControl/>
        <w:spacing w:line="240" w:lineRule="auto"/>
        <w:ind w:left="6" w:firstLine="702"/>
        <w:rPr>
          <w:rStyle w:val="FontStyle32"/>
          <w:u w:val="single"/>
        </w:rPr>
      </w:pPr>
    </w:p>
    <w:p w:rsidR="00262B21" w:rsidRDefault="00262B21" w:rsidP="005D2390">
      <w:pPr>
        <w:pStyle w:val="Style13"/>
        <w:widowControl/>
        <w:spacing w:line="240" w:lineRule="auto"/>
        <w:ind w:left="6" w:firstLine="702"/>
        <w:rPr>
          <w:rStyle w:val="FontStyle32"/>
          <w:u w:val="single"/>
        </w:rPr>
      </w:pPr>
    </w:p>
    <w:p w:rsidR="00914CE8" w:rsidRPr="00A96834" w:rsidRDefault="00914CE8" w:rsidP="005D2390">
      <w:pPr>
        <w:pStyle w:val="Style13"/>
        <w:widowControl/>
        <w:spacing w:line="240" w:lineRule="auto"/>
        <w:ind w:left="6" w:firstLine="702"/>
        <w:rPr>
          <w:sz w:val="28"/>
          <w:szCs w:val="28"/>
        </w:rPr>
      </w:pPr>
      <w:r w:rsidRPr="00A96834">
        <w:rPr>
          <w:rStyle w:val="FontStyle32"/>
          <w:sz w:val="28"/>
          <w:szCs w:val="28"/>
          <w:u w:val="single"/>
        </w:rPr>
        <w:t>Примечание:</w:t>
      </w:r>
      <w:r w:rsidRPr="00A96834">
        <w:rPr>
          <w:rStyle w:val="FontStyle32"/>
          <w:sz w:val="28"/>
          <w:szCs w:val="28"/>
        </w:rPr>
        <w:t xml:space="preserve"> при изменении уровней террористической опасности, </w:t>
      </w:r>
      <w:r w:rsidR="00C66BC9" w:rsidRPr="00A96834">
        <w:rPr>
          <w:rStyle w:val="FontStyle32"/>
          <w:sz w:val="28"/>
          <w:szCs w:val="28"/>
        </w:rPr>
        <w:t>устанавливаемых</w:t>
      </w:r>
      <w:r w:rsidRPr="00A96834">
        <w:rPr>
          <w:rStyle w:val="FontStyle32"/>
          <w:sz w:val="28"/>
          <w:szCs w:val="28"/>
        </w:rPr>
        <w:t xml:space="preserve"> в</w:t>
      </w:r>
      <w:r w:rsidR="00B979A6" w:rsidRPr="00A96834">
        <w:rPr>
          <w:rStyle w:val="FontStyle32"/>
          <w:sz w:val="28"/>
          <w:szCs w:val="28"/>
        </w:rPr>
        <w:t> </w:t>
      </w:r>
      <w:r w:rsidRPr="00A96834">
        <w:rPr>
          <w:rStyle w:val="FontStyle32"/>
          <w:sz w:val="28"/>
          <w:szCs w:val="28"/>
        </w:rPr>
        <w:t xml:space="preserve">соответствии с Указом Президента Российской Федерации от 14.06.2012 № 851 </w:t>
      </w:r>
      <w:r w:rsidR="006C2EE5" w:rsidRPr="00A96834">
        <w:rPr>
          <w:rStyle w:val="FontStyle32"/>
          <w:sz w:val="28"/>
          <w:szCs w:val="28"/>
        </w:rPr>
        <w:t>"</w:t>
      </w:r>
      <w:r w:rsidRPr="00A96834">
        <w:rPr>
          <w:rStyle w:val="FontStyle32"/>
          <w:sz w:val="28"/>
          <w:szCs w:val="28"/>
        </w:rPr>
        <w:t>О</w:t>
      </w:r>
      <w:r w:rsidR="00B979A6" w:rsidRPr="00A96834">
        <w:rPr>
          <w:rStyle w:val="FontStyle32"/>
          <w:sz w:val="28"/>
          <w:szCs w:val="28"/>
        </w:rPr>
        <w:t> </w:t>
      </w:r>
      <w:r w:rsidRPr="00A96834">
        <w:rPr>
          <w:rStyle w:val="FontStyle32"/>
          <w:sz w:val="28"/>
          <w:szCs w:val="28"/>
        </w:rPr>
        <w:t xml:space="preserve">порядке установления уровней террористической опасности, предусматривающих принятие дополнительных мер по обеспечению </w:t>
      </w:r>
      <w:r w:rsidRPr="00A96834">
        <w:rPr>
          <w:rStyle w:val="FontStyle32"/>
          <w:sz w:val="28"/>
          <w:szCs w:val="28"/>
        </w:rPr>
        <w:lastRenderedPageBreak/>
        <w:t>безопасности личности, общества и</w:t>
      </w:r>
      <w:r w:rsidR="00B979A6" w:rsidRPr="00A96834">
        <w:rPr>
          <w:rStyle w:val="FontStyle32"/>
          <w:sz w:val="28"/>
          <w:szCs w:val="28"/>
        </w:rPr>
        <w:t> </w:t>
      </w:r>
      <w:r w:rsidRPr="00A96834">
        <w:rPr>
          <w:rStyle w:val="FontStyle32"/>
          <w:sz w:val="28"/>
          <w:szCs w:val="28"/>
        </w:rPr>
        <w:t>государства</w:t>
      </w:r>
      <w:r w:rsidR="006C2EE5" w:rsidRPr="00A96834">
        <w:rPr>
          <w:rStyle w:val="FontStyle32"/>
          <w:sz w:val="28"/>
          <w:szCs w:val="28"/>
        </w:rPr>
        <w:t>"</w:t>
      </w:r>
      <w:r w:rsidRPr="00A96834">
        <w:rPr>
          <w:rStyle w:val="FontStyle32"/>
          <w:sz w:val="28"/>
          <w:szCs w:val="28"/>
        </w:rPr>
        <w:t xml:space="preserve"> (далее —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914CE8" w:rsidRDefault="00914CE8" w:rsidP="00914CE8"/>
    <w:p w:rsidR="00A96834" w:rsidRPr="008D3A3E" w:rsidRDefault="00A96834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</w:p>
    <w:p w:rsidR="00914CE8" w:rsidRPr="00A96834" w:rsidRDefault="00914CE8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  <w:r w:rsidRPr="00A96834">
        <w:rPr>
          <w:rStyle w:val="FontStyle33"/>
          <w:sz w:val="28"/>
          <w:szCs w:val="28"/>
          <w:lang w:val="en-US" w:eastAsia="en-US"/>
        </w:rPr>
        <w:t>III</w:t>
      </w:r>
      <w:r w:rsidRPr="00A96834">
        <w:rPr>
          <w:rStyle w:val="FontStyle33"/>
          <w:sz w:val="28"/>
          <w:szCs w:val="28"/>
          <w:lang w:eastAsia="en-US"/>
        </w:rPr>
        <w:t>. НОМЕРА ТЕЛЕФОНОВ ДЕЖУРНЫХ (ОПЕРАТИВНЫХ) СЛУЖБ</w:t>
      </w:r>
    </w:p>
    <w:p w:rsidR="005D2390" w:rsidRDefault="005D2390" w:rsidP="00914CE8">
      <w:pPr>
        <w:pStyle w:val="Style8"/>
        <w:widowControl/>
        <w:spacing w:line="240" w:lineRule="auto"/>
      </w:pPr>
    </w:p>
    <w:p w:rsidR="00914CE8" w:rsidRPr="00D71762" w:rsidRDefault="00914CE8" w:rsidP="00D71762">
      <w:pPr>
        <w:pStyle w:val="Style24"/>
        <w:widowControl/>
        <w:spacing w:line="240" w:lineRule="exact"/>
        <w:ind w:left="149" w:firstLine="0"/>
        <w:rPr>
          <w:sz w:val="28"/>
          <w:szCs w:val="28"/>
        </w:rPr>
      </w:pPr>
    </w:p>
    <w:tbl>
      <w:tblPr>
        <w:tblpPr w:leftFromText="180" w:rightFromText="180" w:bottomFromText="160" w:vertAnchor="text" w:tblpX="-39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527"/>
      </w:tblGrid>
      <w:tr w:rsidR="00A155E2" w:rsidRPr="005E45EE" w:rsidTr="005D2390">
        <w:trPr>
          <w:trHeight w:val="70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Единая дежурная диспетчерская служба  г. Нижневартовска -  ЕДДС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112</w:t>
            </w:r>
          </w:p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24-92-88</w:t>
            </w:r>
          </w:p>
        </w:tc>
      </w:tr>
      <w:tr w:rsidR="00A155E2" w:rsidRPr="005E45EE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2-ой отдел (в г. Нижневартовске) службы по ХМАО Регионального Управления ФСБ РФ по Тюменской области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5E45EE" w:rsidRDefault="005D2390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8-901-2</w:t>
            </w:r>
            <w:r w:rsidR="00A155E2" w:rsidRPr="005E45EE">
              <w:rPr>
                <w:rStyle w:val="FontStyle31"/>
                <w:rFonts w:eastAsia="Calibri"/>
                <w:b/>
                <w:sz w:val="24"/>
                <w:szCs w:val="24"/>
              </w:rPr>
              <w:t>60-09-04</w:t>
            </w:r>
          </w:p>
        </w:tc>
      </w:tr>
      <w:tr w:rsidR="00A155E2" w:rsidRPr="005E45EE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Управление Министерства внутренних дел Российской Федерации по г. Нижневартовску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102</w:t>
            </w:r>
          </w:p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49-31-11</w:t>
            </w:r>
          </w:p>
        </w:tc>
      </w:tr>
      <w:tr w:rsidR="00A155E2" w:rsidRPr="005E45EE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Нижневартовский МОВО филиала ФГКУ </w:t>
            </w:r>
            <w:r w:rsidR="006C2EE5" w:rsidRPr="005E45EE">
              <w:rPr>
                <w:rStyle w:val="FontStyle31"/>
                <w:rFonts w:eastAsia="Calibri"/>
                <w:sz w:val="24"/>
                <w:szCs w:val="24"/>
              </w:rPr>
              <w:t>"</w:t>
            </w:r>
            <w:r w:rsidRPr="005E45EE">
              <w:rPr>
                <w:rStyle w:val="FontStyle31"/>
                <w:rFonts w:eastAsia="Calibri"/>
                <w:sz w:val="24"/>
                <w:szCs w:val="24"/>
              </w:rPr>
              <w:t>УВО ВНГ России по ХМАО – Югре</w:t>
            </w:r>
            <w:r w:rsidR="006C2EE5" w:rsidRPr="005E45EE">
              <w:rPr>
                <w:rStyle w:val="FontStyle31"/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41-04-20</w:t>
            </w:r>
          </w:p>
        </w:tc>
      </w:tr>
      <w:tr w:rsidR="00A155E2" w:rsidRPr="005E45EE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101</w:t>
            </w:r>
          </w:p>
          <w:p w:rsidR="00A155E2" w:rsidRPr="005E45EE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43-22-74</w:t>
            </w:r>
          </w:p>
        </w:tc>
      </w:tr>
      <w:tr w:rsidR="00CA64EA" w:rsidRPr="005E45EE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EA" w:rsidRPr="005E45EE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sz w:val="24"/>
                <w:szCs w:val="24"/>
              </w:rPr>
              <w:t>Аппарат Антитеррористической комиссии города Нижневартовска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EA" w:rsidRPr="005E45EE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29-12-08</w:t>
            </w:r>
          </w:p>
          <w:p w:rsidR="00CA64EA" w:rsidRPr="005E45EE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5E45EE">
              <w:rPr>
                <w:rStyle w:val="FontStyle31"/>
                <w:rFonts w:eastAsia="Calibri"/>
                <w:b/>
                <w:sz w:val="24"/>
                <w:szCs w:val="24"/>
              </w:rPr>
              <w:t>41-17-01</w:t>
            </w:r>
          </w:p>
        </w:tc>
      </w:tr>
    </w:tbl>
    <w:p w:rsidR="007464EE" w:rsidRDefault="007464EE" w:rsidP="00746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3A3E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>ое</w:t>
      </w:r>
      <w:r w:rsidRPr="008D3A3E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8D3A3E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 xml:space="preserve">ое </w:t>
      </w:r>
    </w:p>
    <w:p w:rsidR="007464EE" w:rsidRDefault="007464EE" w:rsidP="00746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3A3E">
        <w:rPr>
          <w:rFonts w:ascii="Times New Roman" w:hAnsi="Times New Roman"/>
          <w:sz w:val="28"/>
          <w:szCs w:val="28"/>
        </w:rPr>
        <w:t xml:space="preserve">за проведение мероприятий </w:t>
      </w:r>
    </w:p>
    <w:p w:rsidR="007464EE" w:rsidRDefault="007464EE" w:rsidP="00746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3A3E">
        <w:rPr>
          <w:rFonts w:ascii="Times New Roman" w:hAnsi="Times New Roman"/>
          <w:sz w:val="28"/>
          <w:szCs w:val="28"/>
        </w:rPr>
        <w:t xml:space="preserve">по обеспечению антитеррористической </w:t>
      </w:r>
    </w:p>
    <w:p w:rsidR="007464EE" w:rsidRDefault="007464EE" w:rsidP="00746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3A3E">
        <w:rPr>
          <w:rFonts w:ascii="Times New Roman" w:hAnsi="Times New Roman"/>
          <w:sz w:val="28"/>
          <w:szCs w:val="28"/>
        </w:rPr>
        <w:t xml:space="preserve">защищенности объектов (территорий) </w:t>
      </w:r>
    </w:p>
    <w:p w:rsidR="007464EE" w:rsidRPr="00887160" w:rsidRDefault="007464EE" w:rsidP="007464EE">
      <w:pPr>
        <w:spacing w:after="0" w:line="240" w:lineRule="auto"/>
      </w:pPr>
      <w:r w:rsidRPr="008D3A3E">
        <w:rPr>
          <w:rFonts w:ascii="Times New Roman" w:hAnsi="Times New Roman"/>
          <w:sz w:val="28"/>
          <w:szCs w:val="28"/>
        </w:rPr>
        <w:t>и организаци</w:t>
      </w:r>
      <w:r>
        <w:rPr>
          <w:rFonts w:ascii="Times New Roman" w:hAnsi="Times New Roman"/>
          <w:sz w:val="28"/>
          <w:szCs w:val="28"/>
        </w:rPr>
        <w:t>ю</w:t>
      </w:r>
      <w:r w:rsidRPr="008D3A3E">
        <w:rPr>
          <w:rFonts w:ascii="Times New Roman" w:hAnsi="Times New Roman"/>
          <w:sz w:val="28"/>
          <w:szCs w:val="28"/>
        </w:rPr>
        <w:t xml:space="preserve"> взаимодействия</w:t>
      </w:r>
      <w:r w:rsidRPr="00887160">
        <w:rPr>
          <w:rFonts w:ascii="Times New Roman" w:eastAsia="Times New Roman" w:hAnsi="Times New Roman"/>
          <w:sz w:val="28"/>
          <w:szCs w:val="20"/>
          <w:lang w:eastAsia="ar-SA"/>
        </w:rPr>
        <w:t xml:space="preserve">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887160">
        <w:rPr>
          <w:rFonts w:ascii="Times New Roman" w:eastAsia="Times New Roman" w:hAnsi="Times New Roman"/>
          <w:sz w:val="28"/>
          <w:szCs w:val="20"/>
          <w:lang w:eastAsia="ar-SA"/>
        </w:rPr>
        <w:t xml:space="preserve">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</w:t>
      </w:r>
      <w:r w:rsidRPr="00887160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87160">
        <w:rPr>
          <w:rFonts w:ascii="Times New Roman" w:hAnsi="Times New Roman"/>
          <w:sz w:val="24"/>
          <w:szCs w:val="24"/>
        </w:rPr>
        <w:t>_____________________</w:t>
      </w:r>
    </w:p>
    <w:p w:rsidR="007464EE" w:rsidRPr="00887160" w:rsidRDefault="007464EE" w:rsidP="007464EE">
      <w:pPr>
        <w:spacing w:after="0" w:line="240" w:lineRule="auto"/>
      </w:pPr>
      <w:r w:rsidRPr="00887160">
        <w:rPr>
          <w:rFonts w:ascii="Times New Roman" w:hAnsi="Times New Roman"/>
        </w:rPr>
        <w:t xml:space="preserve">                                                                                                   подпись        </w:t>
      </w:r>
      <w:r w:rsidRPr="00887160">
        <w:rPr>
          <w:rFonts w:ascii="Times New Roman" w:hAnsi="Times New Roman"/>
        </w:rPr>
        <w:tab/>
        <w:t xml:space="preserve">              </w:t>
      </w:r>
      <w:proofErr w:type="gramStart"/>
      <w:r w:rsidRPr="00887160">
        <w:rPr>
          <w:rFonts w:ascii="Times New Roman" w:hAnsi="Times New Roman"/>
        </w:rPr>
        <w:t xml:space="preserve">   (</w:t>
      </w:r>
      <w:proofErr w:type="spellStart"/>
      <w:proofErr w:type="gramEnd"/>
      <w:r w:rsidRPr="00887160">
        <w:rPr>
          <w:rFonts w:ascii="Times New Roman" w:hAnsi="Times New Roman"/>
        </w:rPr>
        <w:t>ф.и.о.</w:t>
      </w:r>
      <w:proofErr w:type="spellEnd"/>
      <w:r w:rsidRPr="00887160">
        <w:rPr>
          <w:rFonts w:ascii="Times New Roman" w:hAnsi="Times New Roman"/>
        </w:rPr>
        <w:t>)</w:t>
      </w:r>
    </w:p>
    <w:p w:rsidR="007464EE" w:rsidRPr="005E45EE" w:rsidRDefault="007464EE" w:rsidP="007464EE">
      <w:pPr>
        <w:spacing w:after="0" w:line="240" w:lineRule="auto"/>
        <w:rPr>
          <w:sz w:val="28"/>
          <w:szCs w:val="28"/>
        </w:rPr>
      </w:pPr>
      <w:r w:rsidRPr="005E45EE">
        <w:rPr>
          <w:rFonts w:ascii="Times New Roman" w:hAnsi="Times New Roman"/>
          <w:sz w:val="28"/>
          <w:szCs w:val="28"/>
        </w:rPr>
        <w:t xml:space="preserve"> _____ ____________ 20___ г.</w:t>
      </w:r>
    </w:p>
    <w:p w:rsidR="001D598B" w:rsidRDefault="001D598B" w:rsidP="005D2390">
      <w:pPr>
        <w:spacing w:after="0" w:line="360" w:lineRule="auto"/>
        <w:jc w:val="both"/>
      </w:pPr>
    </w:p>
    <w:p w:rsidR="001D598B" w:rsidRDefault="001D598B" w:rsidP="005D2390">
      <w:pPr>
        <w:spacing w:after="0" w:line="360" w:lineRule="auto"/>
        <w:jc w:val="both"/>
      </w:pPr>
    </w:p>
    <w:p w:rsidR="001D598B" w:rsidRDefault="001D598B" w:rsidP="005D2390">
      <w:pPr>
        <w:spacing w:after="0" w:line="360" w:lineRule="auto"/>
        <w:jc w:val="both"/>
      </w:pPr>
    </w:p>
    <w:p w:rsidR="001D598B" w:rsidRPr="000D70AA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D70AA">
        <w:rPr>
          <w:rFonts w:ascii="Times New Roman" w:hAnsi="Times New Roman"/>
          <w:i/>
          <w:sz w:val="24"/>
          <w:szCs w:val="24"/>
          <w:u w:val="single"/>
        </w:rPr>
        <w:t>Методические рекомендации разработал:</w:t>
      </w:r>
    </w:p>
    <w:p w:rsidR="001D598B" w:rsidRPr="000D70AA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Pr="000D70AA">
        <w:rPr>
          <w:rFonts w:ascii="Times New Roman" w:hAnsi="Times New Roman"/>
          <w:i/>
          <w:sz w:val="24"/>
          <w:szCs w:val="24"/>
        </w:rPr>
        <w:t>ачальник отдела по обеспечению антитеррористической защищенности</w:t>
      </w:r>
    </w:p>
    <w:p w:rsidR="001D598B" w:rsidRPr="000D70AA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 xml:space="preserve">управления по вопросам законности, правопорядка </w:t>
      </w:r>
    </w:p>
    <w:p w:rsidR="001D598B" w:rsidRPr="000D70AA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 xml:space="preserve">и безопасности администрации города </w:t>
      </w:r>
    </w:p>
    <w:p w:rsidR="001D598B" w:rsidRPr="000D70AA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>Лабазанов Шапи Заирбекович</w:t>
      </w:r>
    </w:p>
    <w:p w:rsidR="001D598B" w:rsidRDefault="001D598B" w:rsidP="00EA1BA1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т</w:t>
      </w:r>
      <w:r w:rsidRPr="000D70AA">
        <w:rPr>
          <w:rFonts w:ascii="Times New Roman" w:hAnsi="Times New Roman"/>
          <w:i/>
          <w:sz w:val="24"/>
          <w:szCs w:val="24"/>
        </w:rPr>
        <w:t>ел: (3466) 29-12-08</w:t>
      </w:r>
    </w:p>
    <w:sectPr w:rsidR="001D598B">
      <w:type w:val="continuous"/>
      <w:pgSz w:w="11906" w:h="16838"/>
      <w:pgMar w:top="851" w:right="993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5A" w:rsidRDefault="00900E5A">
      <w:pPr>
        <w:spacing w:after="0" w:line="240" w:lineRule="auto"/>
      </w:pPr>
      <w:r>
        <w:separator/>
      </w:r>
    </w:p>
  </w:endnote>
  <w:endnote w:type="continuationSeparator" w:id="0">
    <w:p w:rsidR="00900E5A" w:rsidRDefault="0090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E7" w:rsidRDefault="00914CE8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D196A">
      <w:rPr>
        <w:noProof/>
      </w:rPr>
      <w:t>3</w:t>
    </w:r>
    <w:r>
      <w:fldChar w:fldCharType="end"/>
    </w:r>
  </w:p>
  <w:p w:rsidR="009638E7" w:rsidRDefault="00900E5A">
    <w:pPr>
      <w:pStyle w:val="a4"/>
    </w:pPr>
  </w:p>
  <w:p w:rsidR="009638E7" w:rsidRDefault="00900E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5A" w:rsidRDefault="00900E5A">
      <w:pPr>
        <w:spacing w:after="0" w:line="240" w:lineRule="auto"/>
      </w:pPr>
      <w:r>
        <w:separator/>
      </w:r>
    </w:p>
  </w:footnote>
  <w:footnote w:type="continuationSeparator" w:id="0">
    <w:p w:rsidR="00900E5A" w:rsidRDefault="00900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CC1B8A"/>
    <w:multiLevelType w:val="hybridMultilevel"/>
    <w:tmpl w:val="850478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813B47"/>
    <w:multiLevelType w:val="hybridMultilevel"/>
    <w:tmpl w:val="C060AEB6"/>
    <w:lvl w:ilvl="0" w:tplc="655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6705"/>
    <w:multiLevelType w:val="hybridMultilevel"/>
    <w:tmpl w:val="3C68EEFC"/>
    <w:lvl w:ilvl="0" w:tplc="DBF6E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812BC"/>
    <w:multiLevelType w:val="hybridMultilevel"/>
    <w:tmpl w:val="C6E03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551C"/>
    <w:multiLevelType w:val="hybridMultilevel"/>
    <w:tmpl w:val="B78AA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F5"/>
    <w:rsid w:val="00091DFA"/>
    <w:rsid w:val="000B05D5"/>
    <w:rsid w:val="000C3D77"/>
    <w:rsid w:val="000D196A"/>
    <w:rsid w:val="00130E35"/>
    <w:rsid w:val="00197226"/>
    <w:rsid w:val="001A2912"/>
    <w:rsid w:val="001C0D2D"/>
    <w:rsid w:val="001C7DE1"/>
    <w:rsid w:val="001D598B"/>
    <w:rsid w:val="00262B21"/>
    <w:rsid w:val="00275328"/>
    <w:rsid w:val="002862BA"/>
    <w:rsid w:val="0034162B"/>
    <w:rsid w:val="003456B6"/>
    <w:rsid w:val="003475DA"/>
    <w:rsid w:val="0036167A"/>
    <w:rsid w:val="00370B4D"/>
    <w:rsid w:val="00394223"/>
    <w:rsid w:val="003A3BF3"/>
    <w:rsid w:val="0041179E"/>
    <w:rsid w:val="004B2FE0"/>
    <w:rsid w:val="004C3B07"/>
    <w:rsid w:val="004E0450"/>
    <w:rsid w:val="004E3EEE"/>
    <w:rsid w:val="00512845"/>
    <w:rsid w:val="00520374"/>
    <w:rsid w:val="00541E8E"/>
    <w:rsid w:val="005A39E7"/>
    <w:rsid w:val="005A6310"/>
    <w:rsid w:val="005D2390"/>
    <w:rsid w:val="005D327F"/>
    <w:rsid w:val="005D5051"/>
    <w:rsid w:val="005E45EE"/>
    <w:rsid w:val="0060106F"/>
    <w:rsid w:val="00613403"/>
    <w:rsid w:val="006C2EE5"/>
    <w:rsid w:val="006C32BC"/>
    <w:rsid w:val="007464EE"/>
    <w:rsid w:val="007A5421"/>
    <w:rsid w:val="007D77C4"/>
    <w:rsid w:val="00847F8D"/>
    <w:rsid w:val="0085595E"/>
    <w:rsid w:val="00887160"/>
    <w:rsid w:val="008D3A3E"/>
    <w:rsid w:val="008D6A94"/>
    <w:rsid w:val="00900E5A"/>
    <w:rsid w:val="00914CE8"/>
    <w:rsid w:val="0092742A"/>
    <w:rsid w:val="00942103"/>
    <w:rsid w:val="009E4909"/>
    <w:rsid w:val="009F1661"/>
    <w:rsid w:val="009F7A84"/>
    <w:rsid w:val="00A0736B"/>
    <w:rsid w:val="00A155E2"/>
    <w:rsid w:val="00A26461"/>
    <w:rsid w:val="00A37778"/>
    <w:rsid w:val="00A5323A"/>
    <w:rsid w:val="00A96834"/>
    <w:rsid w:val="00AD59F9"/>
    <w:rsid w:val="00B25A1D"/>
    <w:rsid w:val="00B65349"/>
    <w:rsid w:val="00B928CA"/>
    <w:rsid w:val="00B964D6"/>
    <w:rsid w:val="00B979A6"/>
    <w:rsid w:val="00BB61A2"/>
    <w:rsid w:val="00C443DD"/>
    <w:rsid w:val="00C66BC9"/>
    <w:rsid w:val="00C81E8F"/>
    <w:rsid w:val="00CA64EA"/>
    <w:rsid w:val="00D128E2"/>
    <w:rsid w:val="00D71762"/>
    <w:rsid w:val="00E00FE6"/>
    <w:rsid w:val="00E16667"/>
    <w:rsid w:val="00E61919"/>
    <w:rsid w:val="00E66B1A"/>
    <w:rsid w:val="00EA1BA1"/>
    <w:rsid w:val="00EC674F"/>
    <w:rsid w:val="00F11ADD"/>
    <w:rsid w:val="00F12751"/>
    <w:rsid w:val="00F278D8"/>
    <w:rsid w:val="00F67B1E"/>
    <w:rsid w:val="00FC6BF5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FF475-4D48-4024-B5A4-3530309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E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914C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914C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914CE8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914CE8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914CE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14CE8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914CE8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914CE8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914CE8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914CE8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914CE8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rsid w:val="00914CE8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914CE8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914CE8"/>
    <w:pPr>
      <w:ind w:left="720"/>
      <w:contextualSpacing/>
    </w:pPr>
  </w:style>
  <w:style w:type="paragraph" w:customStyle="1" w:styleId="Style24">
    <w:name w:val="Style24"/>
    <w:basedOn w:val="a"/>
    <w:rsid w:val="00914CE8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914CE8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914CE8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914CE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4E0450"/>
    <w:rPr>
      <w:color w:val="0000FF" w:themeColor="hyperlink"/>
      <w:u w:val="single"/>
    </w:rPr>
  </w:style>
  <w:style w:type="paragraph" w:customStyle="1" w:styleId="ConsPlusNormal">
    <w:name w:val="ConsPlusNormal"/>
    <w:rsid w:val="00BB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8D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Лабазанов Шапи Заирбекович</cp:lastModifiedBy>
  <cp:revision>35</cp:revision>
  <cp:lastPrinted>2021-03-22T04:15:00Z</cp:lastPrinted>
  <dcterms:created xsi:type="dcterms:W3CDTF">2021-03-01T11:38:00Z</dcterms:created>
  <dcterms:modified xsi:type="dcterms:W3CDTF">2021-04-06T11:27:00Z</dcterms:modified>
</cp:coreProperties>
</file>