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BB" w:rsidRDefault="00D151F8" w:rsidP="00C82CBB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23.11.2015 №1946-р</w:t>
      </w:r>
    </w:p>
    <w:p w:rsidR="00C82CBB" w:rsidRDefault="00C82CBB" w:rsidP="00C82CBB">
      <w:pPr>
        <w:ind w:right="4960"/>
        <w:jc w:val="both"/>
        <w:rPr>
          <w:sz w:val="24"/>
          <w:szCs w:val="24"/>
        </w:rPr>
      </w:pPr>
    </w:p>
    <w:p w:rsidR="00A16C38" w:rsidRPr="00C82CBB" w:rsidRDefault="00775A18" w:rsidP="00C82CBB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D25F5C" w:rsidRPr="00C82CBB">
        <w:rPr>
          <w:sz w:val="24"/>
          <w:szCs w:val="24"/>
        </w:rPr>
        <w:t xml:space="preserve"> в распоряже</w:t>
      </w:r>
      <w:r>
        <w:rPr>
          <w:sz w:val="24"/>
          <w:szCs w:val="24"/>
        </w:rPr>
        <w:t>ние</w:t>
      </w:r>
      <w:r w:rsidR="00A166CD" w:rsidRPr="00C8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25F5C" w:rsidRPr="00C82CB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="00D25F5C" w:rsidRPr="00C82CBB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 </w:t>
      </w:r>
      <w:r w:rsidR="00A166CD" w:rsidRPr="00C82CBB">
        <w:rPr>
          <w:sz w:val="24"/>
          <w:szCs w:val="24"/>
        </w:rPr>
        <w:t>от 02.07.2013</w:t>
      </w:r>
      <w:r w:rsidR="00A16C38" w:rsidRPr="00C82CBB">
        <w:rPr>
          <w:sz w:val="24"/>
          <w:szCs w:val="24"/>
        </w:rPr>
        <w:t xml:space="preserve"> </w:t>
      </w:r>
      <w:r w:rsidR="00D25F5C" w:rsidRPr="00C82CBB">
        <w:rPr>
          <w:sz w:val="24"/>
          <w:szCs w:val="24"/>
        </w:rPr>
        <w:t xml:space="preserve">№1163-р </w:t>
      </w:r>
      <w:r w:rsidR="00C82CBB" w:rsidRPr="00C82CBB">
        <w:rPr>
          <w:sz w:val="24"/>
          <w:szCs w:val="24"/>
        </w:rPr>
        <w:t>"</w:t>
      </w:r>
      <w:r w:rsidR="00D25F5C" w:rsidRPr="00C82CB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 </w:t>
      </w:r>
      <w:r w:rsidR="00D25F5C" w:rsidRPr="00C82CBB">
        <w:rPr>
          <w:sz w:val="24"/>
          <w:szCs w:val="24"/>
        </w:rPr>
        <w:t>перечня мун</w:t>
      </w:r>
      <w:r w:rsidR="00D25F5C" w:rsidRPr="00C82CBB">
        <w:rPr>
          <w:sz w:val="24"/>
          <w:szCs w:val="24"/>
        </w:rPr>
        <w:t>и</w:t>
      </w:r>
      <w:r w:rsidR="00D25F5C" w:rsidRPr="00C82CBB">
        <w:rPr>
          <w:sz w:val="24"/>
          <w:szCs w:val="24"/>
        </w:rPr>
        <w:t xml:space="preserve">ципальных услуг, предоставление которых осуществляется по принципу </w:t>
      </w:r>
      <w:r w:rsidR="00C82CBB" w:rsidRPr="00C82CBB">
        <w:rPr>
          <w:sz w:val="24"/>
          <w:szCs w:val="24"/>
        </w:rPr>
        <w:t>"</w:t>
      </w:r>
      <w:r w:rsidR="00D25F5C" w:rsidRPr="00C82CBB">
        <w:rPr>
          <w:sz w:val="24"/>
          <w:szCs w:val="24"/>
        </w:rPr>
        <w:t>одного окна</w:t>
      </w:r>
      <w:r w:rsidR="00C82CBB" w:rsidRPr="00C82CBB">
        <w:rPr>
          <w:sz w:val="24"/>
          <w:szCs w:val="24"/>
        </w:rPr>
        <w:t>"</w:t>
      </w:r>
      <w:r w:rsidR="00D25F5C" w:rsidRPr="00C82CBB">
        <w:rPr>
          <w:sz w:val="24"/>
          <w:szCs w:val="24"/>
        </w:rPr>
        <w:t xml:space="preserve"> через муниципальное казенное учреждение </w:t>
      </w:r>
      <w:r w:rsidR="00C82CBB" w:rsidRPr="00C82CBB">
        <w:rPr>
          <w:sz w:val="24"/>
          <w:szCs w:val="24"/>
        </w:rPr>
        <w:t>"</w:t>
      </w:r>
      <w:proofErr w:type="spellStart"/>
      <w:r w:rsidR="00D25F5C" w:rsidRPr="00C82CBB">
        <w:rPr>
          <w:sz w:val="24"/>
          <w:szCs w:val="24"/>
        </w:rPr>
        <w:t>Нижневартовский</w:t>
      </w:r>
      <w:proofErr w:type="spellEnd"/>
      <w:r w:rsidR="00D25F5C" w:rsidRPr="00C82CBB">
        <w:rPr>
          <w:sz w:val="24"/>
          <w:szCs w:val="24"/>
        </w:rPr>
        <w:t xml:space="preserve"> многофункциональный центр предоставления государственных </w:t>
      </w:r>
      <w:r>
        <w:rPr>
          <w:sz w:val="24"/>
          <w:szCs w:val="24"/>
        </w:rPr>
        <w:t xml:space="preserve">       </w:t>
      </w:r>
      <w:r w:rsidR="00D25F5C" w:rsidRPr="00C82CBB">
        <w:rPr>
          <w:sz w:val="24"/>
          <w:szCs w:val="24"/>
        </w:rPr>
        <w:t>и муниципальных услуг</w:t>
      </w:r>
      <w:r w:rsidR="00C82CBB" w:rsidRPr="00C82CBB">
        <w:rPr>
          <w:sz w:val="24"/>
          <w:szCs w:val="24"/>
        </w:rPr>
        <w:t>"</w:t>
      </w:r>
      <w:r w:rsidR="00D25F5C" w:rsidRPr="00C82CBB">
        <w:rPr>
          <w:sz w:val="24"/>
          <w:szCs w:val="24"/>
        </w:rPr>
        <w:t xml:space="preserve"> </w:t>
      </w:r>
      <w:r w:rsidR="007563D1" w:rsidRPr="00C82CBB">
        <w:rPr>
          <w:sz w:val="24"/>
          <w:szCs w:val="24"/>
        </w:rPr>
        <w:t>(с изме</w:t>
      </w:r>
      <w:r w:rsidR="00CB3C23" w:rsidRPr="00C82CBB">
        <w:rPr>
          <w:sz w:val="24"/>
          <w:szCs w:val="24"/>
        </w:rPr>
        <w:t>нениями</w:t>
      </w:r>
      <w:r w:rsidR="00A166CD" w:rsidRPr="00C8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563D1" w:rsidRPr="00C82CBB">
        <w:rPr>
          <w:sz w:val="24"/>
          <w:szCs w:val="24"/>
        </w:rPr>
        <w:t>от 25.09.2013</w:t>
      </w:r>
      <w:r w:rsidR="00CC7432" w:rsidRPr="00C82CBB">
        <w:rPr>
          <w:sz w:val="24"/>
          <w:szCs w:val="24"/>
        </w:rPr>
        <w:t xml:space="preserve"> №1753-р, 25.11.2014 №2073-р,</w:t>
      </w:r>
      <w:r w:rsidR="007563D1" w:rsidRPr="00C82CBB">
        <w:rPr>
          <w:sz w:val="24"/>
          <w:szCs w:val="24"/>
        </w:rPr>
        <w:t xml:space="preserve"> 12.02.2015 №156-р</w:t>
      </w:r>
      <w:r w:rsidR="00CC7432" w:rsidRPr="00C82CBB">
        <w:rPr>
          <w:sz w:val="24"/>
          <w:szCs w:val="24"/>
        </w:rPr>
        <w:t>,</w:t>
      </w:r>
      <w:r w:rsidR="006410BF" w:rsidRPr="00C82CBB">
        <w:rPr>
          <w:sz w:val="24"/>
          <w:szCs w:val="24"/>
        </w:rPr>
        <w:t xml:space="preserve"> 17.07.2015 №1135-р</w:t>
      </w:r>
      <w:r w:rsidR="007563D1" w:rsidRPr="00C82CBB">
        <w:rPr>
          <w:sz w:val="24"/>
          <w:szCs w:val="24"/>
        </w:rPr>
        <w:t>)</w:t>
      </w:r>
    </w:p>
    <w:p w:rsidR="00273E30" w:rsidRPr="00C82CBB" w:rsidRDefault="00273E30" w:rsidP="00C82CBB">
      <w:pPr>
        <w:jc w:val="both"/>
        <w:rPr>
          <w:sz w:val="28"/>
          <w:szCs w:val="28"/>
        </w:rPr>
      </w:pPr>
    </w:p>
    <w:p w:rsidR="00CB3C23" w:rsidRPr="00C82CBB" w:rsidRDefault="00CB3C23" w:rsidP="00C82CBB">
      <w:pPr>
        <w:jc w:val="both"/>
        <w:rPr>
          <w:sz w:val="28"/>
          <w:szCs w:val="28"/>
        </w:rPr>
      </w:pPr>
    </w:p>
    <w:p w:rsidR="001C0DDF" w:rsidRPr="00C82CBB" w:rsidRDefault="005A68B7" w:rsidP="00C82CBB">
      <w:pPr>
        <w:ind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В</w:t>
      </w:r>
      <w:r w:rsidR="00717F63" w:rsidRPr="00C82CBB">
        <w:rPr>
          <w:sz w:val="28"/>
          <w:szCs w:val="28"/>
        </w:rPr>
        <w:t xml:space="preserve"> связи </w:t>
      </w:r>
      <w:r w:rsidR="008C2E42">
        <w:rPr>
          <w:sz w:val="28"/>
          <w:szCs w:val="28"/>
        </w:rPr>
        <w:t xml:space="preserve">с </w:t>
      </w:r>
      <w:r w:rsidR="00262A04" w:rsidRPr="00C82CBB">
        <w:rPr>
          <w:sz w:val="28"/>
          <w:szCs w:val="28"/>
        </w:rPr>
        <w:t xml:space="preserve">переносом сроков предоставления муниципальных услуг через муниципальное казенное учреждение </w:t>
      </w:r>
      <w:r w:rsidR="00C82CBB" w:rsidRPr="00C82CBB">
        <w:rPr>
          <w:sz w:val="28"/>
          <w:szCs w:val="28"/>
        </w:rPr>
        <w:t>"</w:t>
      </w:r>
      <w:proofErr w:type="spellStart"/>
      <w:r w:rsidR="000779D4" w:rsidRPr="00C82CBB">
        <w:rPr>
          <w:sz w:val="28"/>
          <w:szCs w:val="28"/>
        </w:rPr>
        <w:t>Нижневартовский</w:t>
      </w:r>
      <w:proofErr w:type="spellEnd"/>
      <w:r w:rsidR="000779D4" w:rsidRPr="00C82CBB">
        <w:rPr>
          <w:sz w:val="28"/>
          <w:szCs w:val="28"/>
        </w:rPr>
        <w:t xml:space="preserve"> многофункционал</w:t>
      </w:r>
      <w:r w:rsidR="000779D4" w:rsidRPr="00C82CBB">
        <w:rPr>
          <w:sz w:val="28"/>
          <w:szCs w:val="28"/>
        </w:rPr>
        <w:t>ь</w:t>
      </w:r>
      <w:r w:rsidR="000779D4" w:rsidRPr="00C82CBB">
        <w:rPr>
          <w:sz w:val="28"/>
          <w:szCs w:val="28"/>
        </w:rPr>
        <w:t>ный центр предоставления государственных и муниципальных услуг</w:t>
      </w:r>
      <w:r w:rsidR="00C82CBB" w:rsidRPr="00C82CBB">
        <w:rPr>
          <w:sz w:val="28"/>
          <w:szCs w:val="28"/>
        </w:rPr>
        <w:t>"</w:t>
      </w:r>
      <w:r w:rsidR="00262A04" w:rsidRPr="00C82CBB">
        <w:rPr>
          <w:sz w:val="28"/>
          <w:szCs w:val="28"/>
        </w:rPr>
        <w:t>:</w:t>
      </w:r>
    </w:p>
    <w:p w:rsidR="00D25F5C" w:rsidRPr="00C82CBB" w:rsidRDefault="00D25F5C" w:rsidP="00C82CBB">
      <w:pPr>
        <w:ind w:firstLine="709"/>
        <w:jc w:val="both"/>
        <w:rPr>
          <w:sz w:val="28"/>
          <w:szCs w:val="28"/>
        </w:rPr>
      </w:pPr>
    </w:p>
    <w:p w:rsidR="008A15E7" w:rsidRPr="00C82CBB" w:rsidRDefault="00C82CBB" w:rsidP="00C82CBB">
      <w:pPr>
        <w:ind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 xml:space="preserve">1. </w:t>
      </w:r>
      <w:proofErr w:type="gramStart"/>
      <w:r w:rsidR="00775A18">
        <w:rPr>
          <w:sz w:val="28"/>
          <w:szCs w:val="28"/>
        </w:rPr>
        <w:t>Внести изменение</w:t>
      </w:r>
      <w:r w:rsidR="00D25F5C" w:rsidRPr="00C82CBB">
        <w:rPr>
          <w:sz w:val="28"/>
          <w:szCs w:val="28"/>
        </w:rPr>
        <w:t xml:space="preserve"> в </w:t>
      </w:r>
      <w:r w:rsidR="00775A18">
        <w:rPr>
          <w:sz w:val="28"/>
          <w:szCs w:val="28"/>
        </w:rPr>
        <w:t>распоряжение</w:t>
      </w:r>
      <w:r w:rsidR="00D25F5C" w:rsidRPr="00C82CBB">
        <w:rPr>
          <w:sz w:val="28"/>
          <w:szCs w:val="28"/>
        </w:rPr>
        <w:t xml:space="preserve"> администрации</w:t>
      </w:r>
      <w:r w:rsidR="00CB3C23" w:rsidRPr="00C82CBB">
        <w:rPr>
          <w:sz w:val="28"/>
          <w:szCs w:val="28"/>
        </w:rPr>
        <w:t xml:space="preserve"> </w:t>
      </w:r>
      <w:r w:rsidR="00D25F5C" w:rsidRPr="00C82CBB">
        <w:rPr>
          <w:sz w:val="28"/>
          <w:szCs w:val="28"/>
        </w:rPr>
        <w:t xml:space="preserve">города от 02.07.2013 №1163-р </w:t>
      </w:r>
      <w:r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 xml:space="preserve">Об утверждении перечня муниципальных услуг, предоставление </w:t>
      </w:r>
      <w:r w:rsidR="00775A18">
        <w:rPr>
          <w:sz w:val="28"/>
          <w:szCs w:val="28"/>
        </w:rPr>
        <w:t xml:space="preserve">     </w:t>
      </w:r>
      <w:r w:rsidR="00D25F5C" w:rsidRPr="00C82CBB">
        <w:rPr>
          <w:sz w:val="28"/>
          <w:szCs w:val="28"/>
        </w:rPr>
        <w:t xml:space="preserve">которых осуществляется по принципу </w:t>
      </w:r>
      <w:r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>одного окна</w:t>
      </w:r>
      <w:r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 xml:space="preserve"> через</w:t>
      </w:r>
      <w:r w:rsidR="00A16C38" w:rsidRPr="00C82CBB">
        <w:rPr>
          <w:sz w:val="28"/>
          <w:szCs w:val="28"/>
        </w:rPr>
        <w:t xml:space="preserve"> </w:t>
      </w:r>
      <w:r w:rsidR="00D25F5C" w:rsidRPr="00C82CBB">
        <w:rPr>
          <w:sz w:val="28"/>
          <w:szCs w:val="28"/>
        </w:rPr>
        <w:t xml:space="preserve">муниципальное </w:t>
      </w:r>
      <w:r w:rsidR="00775A18">
        <w:rPr>
          <w:sz w:val="28"/>
          <w:szCs w:val="28"/>
        </w:rPr>
        <w:t xml:space="preserve">     </w:t>
      </w:r>
      <w:r w:rsidR="00D25F5C" w:rsidRPr="00C82CBB">
        <w:rPr>
          <w:sz w:val="28"/>
          <w:szCs w:val="28"/>
        </w:rPr>
        <w:t xml:space="preserve">казенное учреждение </w:t>
      </w:r>
      <w:r w:rsidRPr="00C82CBB">
        <w:rPr>
          <w:sz w:val="28"/>
          <w:szCs w:val="28"/>
        </w:rPr>
        <w:t>"</w:t>
      </w:r>
      <w:proofErr w:type="spellStart"/>
      <w:r w:rsidR="00D25F5C" w:rsidRPr="00C82CBB">
        <w:rPr>
          <w:sz w:val="28"/>
          <w:szCs w:val="28"/>
        </w:rPr>
        <w:t>Нижневартовский</w:t>
      </w:r>
      <w:proofErr w:type="spellEnd"/>
      <w:r w:rsidR="00D25F5C" w:rsidRPr="00C82CBB">
        <w:rPr>
          <w:sz w:val="28"/>
          <w:szCs w:val="28"/>
        </w:rPr>
        <w:t xml:space="preserve"> многофункциональный центр пред</w:t>
      </w:r>
      <w:r w:rsidR="00D25F5C" w:rsidRPr="00C82CBB">
        <w:rPr>
          <w:sz w:val="28"/>
          <w:szCs w:val="28"/>
        </w:rPr>
        <w:t>о</w:t>
      </w:r>
      <w:r w:rsidR="00D25F5C" w:rsidRPr="00C82CBB">
        <w:rPr>
          <w:sz w:val="28"/>
          <w:szCs w:val="28"/>
        </w:rPr>
        <w:t>ставления государственных и муниципальных услуг</w:t>
      </w:r>
      <w:r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 xml:space="preserve"> (с изменени</w:t>
      </w:r>
      <w:r w:rsidR="00A16C38" w:rsidRPr="00C82CBB">
        <w:rPr>
          <w:sz w:val="28"/>
          <w:szCs w:val="28"/>
        </w:rPr>
        <w:t xml:space="preserve">ями </w:t>
      </w:r>
      <w:r w:rsidR="00775A18">
        <w:rPr>
          <w:sz w:val="28"/>
          <w:szCs w:val="28"/>
        </w:rPr>
        <w:t xml:space="preserve">               </w:t>
      </w:r>
      <w:r w:rsidR="00A16C38" w:rsidRPr="00C82CBB">
        <w:rPr>
          <w:sz w:val="28"/>
          <w:szCs w:val="28"/>
        </w:rPr>
        <w:t xml:space="preserve">от 25.09.2013 №1753-р, </w:t>
      </w:r>
      <w:r w:rsidR="00D25F5C" w:rsidRPr="00C82CBB">
        <w:rPr>
          <w:sz w:val="28"/>
          <w:szCs w:val="28"/>
        </w:rPr>
        <w:t>25.11.2014 №2073-р</w:t>
      </w:r>
      <w:r w:rsidR="00CC7432" w:rsidRPr="00C82CBB">
        <w:rPr>
          <w:sz w:val="28"/>
          <w:szCs w:val="28"/>
        </w:rPr>
        <w:t>,</w:t>
      </w:r>
      <w:r w:rsidR="00F73A73" w:rsidRPr="00C82CBB">
        <w:rPr>
          <w:sz w:val="28"/>
          <w:szCs w:val="28"/>
        </w:rPr>
        <w:t xml:space="preserve"> 12.02.2015 №156-р</w:t>
      </w:r>
      <w:r w:rsidR="00CC7432" w:rsidRPr="00C82CBB">
        <w:rPr>
          <w:sz w:val="28"/>
          <w:szCs w:val="28"/>
        </w:rPr>
        <w:t xml:space="preserve">, </w:t>
      </w:r>
      <w:r w:rsidR="009532EA" w:rsidRPr="00C82CBB">
        <w:rPr>
          <w:sz w:val="28"/>
          <w:szCs w:val="28"/>
        </w:rPr>
        <w:t>17.07.2015 №1135-р</w:t>
      </w:r>
      <w:r w:rsidR="00D25F5C" w:rsidRPr="00C82CBB">
        <w:rPr>
          <w:sz w:val="28"/>
          <w:szCs w:val="28"/>
        </w:rPr>
        <w:t xml:space="preserve">), изложив </w:t>
      </w:r>
      <w:r w:rsidR="00775A18">
        <w:rPr>
          <w:sz w:val="28"/>
          <w:szCs w:val="28"/>
        </w:rPr>
        <w:t xml:space="preserve">приложение </w:t>
      </w:r>
      <w:r w:rsidR="00D25F5C" w:rsidRPr="00C82CBB">
        <w:rPr>
          <w:sz w:val="28"/>
          <w:szCs w:val="28"/>
        </w:rPr>
        <w:t xml:space="preserve">в новой редакции согласно приложению </w:t>
      </w:r>
      <w:r w:rsidR="00775A18">
        <w:rPr>
          <w:sz w:val="28"/>
          <w:szCs w:val="28"/>
        </w:rPr>
        <w:t xml:space="preserve">           </w:t>
      </w:r>
      <w:r w:rsidR="00D25F5C" w:rsidRPr="00C82CBB">
        <w:rPr>
          <w:sz w:val="28"/>
          <w:szCs w:val="28"/>
        </w:rPr>
        <w:t>к настоящему распоряжению.</w:t>
      </w:r>
      <w:proofErr w:type="gramEnd"/>
    </w:p>
    <w:p w:rsidR="00C82CBB" w:rsidRPr="00C82CBB" w:rsidRDefault="00C82CBB" w:rsidP="00C82CBB">
      <w:pPr>
        <w:ind w:firstLine="709"/>
        <w:jc w:val="both"/>
        <w:rPr>
          <w:sz w:val="28"/>
          <w:szCs w:val="28"/>
        </w:rPr>
      </w:pPr>
    </w:p>
    <w:p w:rsidR="00D25F5C" w:rsidRPr="00C82CBB" w:rsidRDefault="008A15E7" w:rsidP="00C82CBB">
      <w:pPr>
        <w:ind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2</w:t>
      </w:r>
      <w:r w:rsidR="00382EB5" w:rsidRPr="00C82CBB">
        <w:rPr>
          <w:sz w:val="28"/>
          <w:szCs w:val="28"/>
        </w:rPr>
        <w:t>.</w:t>
      </w:r>
      <w:r w:rsidR="00A16C38" w:rsidRPr="00C82CBB">
        <w:rPr>
          <w:sz w:val="28"/>
          <w:szCs w:val="28"/>
        </w:rPr>
        <w:t xml:space="preserve"> </w:t>
      </w:r>
      <w:r w:rsidR="00382EB5" w:rsidRPr="00C82CBB">
        <w:rPr>
          <w:sz w:val="28"/>
          <w:szCs w:val="28"/>
        </w:rPr>
        <w:t>Д</w:t>
      </w:r>
      <w:r w:rsidR="00D25F5C" w:rsidRPr="00C82CBB">
        <w:rPr>
          <w:sz w:val="28"/>
          <w:szCs w:val="28"/>
        </w:rPr>
        <w:t>епартаменту муниципальной собственности и земельных ресурсов</w:t>
      </w:r>
      <w:r w:rsidR="00A16C38" w:rsidRPr="00C82CBB">
        <w:rPr>
          <w:sz w:val="28"/>
          <w:szCs w:val="28"/>
        </w:rPr>
        <w:t xml:space="preserve"> </w:t>
      </w:r>
      <w:r w:rsidR="00D25F5C" w:rsidRPr="00C82CBB">
        <w:rPr>
          <w:sz w:val="28"/>
          <w:szCs w:val="28"/>
        </w:rPr>
        <w:t>администрации города (В.В</w:t>
      </w:r>
      <w:r w:rsidR="00484A37" w:rsidRPr="00C82CBB">
        <w:rPr>
          <w:sz w:val="28"/>
          <w:szCs w:val="28"/>
        </w:rPr>
        <w:t>.</w:t>
      </w:r>
      <w:r w:rsidR="00D25F5C" w:rsidRPr="00C82CBB">
        <w:rPr>
          <w:sz w:val="28"/>
          <w:szCs w:val="28"/>
        </w:rPr>
        <w:t xml:space="preserve"> Тихонов)</w:t>
      </w:r>
      <w:r w:rsidR="00A16C38" w:rsidRPr="00C82CBB">
        <w:rPr>
          <w:sz w:val="28"/>
          <w:szCs w:val="28"/>
        </w:rPr>
        <w:t xml:space="preserve"> </w:t>
      </w:r>
      <w:r w:rsidR="00563C96" w:rsidRPr="00C82CBB">
        <w:rPr>
          <w:sz w:val="28"/>
          <w:szCs w:val="28"/>
        </w:rPr>
        <w:t xml:space="preserve">в срок </w:t>
      </w:r>
      <w:r w:rsidR="005A68BC" w:rsidRPr="00C82CBB">
        <w:rPr>
          <w:sz w:val="28"/>
          <w:szCs w:val="28"/>
        </w:rPr>
        <w:t>до 15.12</w:t>
      </w:r>
      <w:r w:rsidR="00382EB5" w:rsidRPr="00C82CBB">
        <w:rPr>
          <w:sz w:val="28"/>
          <w:szCs w:val="28"/>
        </w:rPr>
        <w:t xml:space="preserve">.2015 представить </w:t>
      </w:r>
      <w:r w:rsidR="00C82CBB">
        <w:rPr>
          <w:sz w:val="28"/>
          <w:szCs w:val="28"/>
        </w:rPr>
        <w:t xml:space="preserve">           </w:t>
      </w:r>
      <w:r w:rsidR="00382EB5" w:rsidRPr="00C82CBB">
        <w:rPr>
          <w:sz w:val="28"/>
          <w:szCs w:val="28"/>
        </w:rPr>
        <w:t xml:space="preserve">на подпись главе администрации </w:t>
      </w:r>
      <w:proofErr w:type="gramStart"/>
      <w:r w:rsidR="00382EB5" w:rsidRPr="00C82CBB">
        <w:rPr>
          <w:sz w:val="28"/>
          <w:szCs w:val="28"/>
        </w:rPr>
        <w:t>города</w:t>
      </w:r>
      <w:proofErr w:type="gramEnd"/>
      <w:r w:rsidR="00382EB5" w:rsidRPr="00C82CBB">
        <w:rPr>
          <w:sz w:val="28"/>
          <w:szCs w:val="28"/>
        </w:rPr>
        <w:t xml:space="preserve"> </w:t>
      </w:r>
      <w:r w:rsidR="00D25F5C" w:rsidRPr="00C82CBB">
        <w:rPr>
          <w:sz w:val="28"/>
          <w:szCs w:val="28"/>
        </w:rPr>
        <w:t>разработа</w:t>
      </w:r>
      <w:r w:rsidR="00C93BEC" w:rsidRPr="00C82CBB">
        <w:rPr>
          <w:sz w:val="28"/>
          <w:szCs w:val="28"/>
        </w:rPr>
        <w:t>нные</w:t>
      </w:r>
      <w:r w:rsidR="00D25F5C" w:rsidRPr="00C82CBB">
        <w:rPr>
          <w:sz w:val="28"/>
          <w:szCs w:val="28"/>
        </w:rPr>
        <w:t xml:space="preserve"> проекты постановлений </w:t>
      </w:r>
      <w:r w:rsidR="00C93BEC" w:rsidRPr="00C82CBB">
        <w:rPr>
          <w:sz w:val="28"/>
          <w:szCs w:val="28"/>
        </w:rPr>
        <w:t xml:space="preserve">администрации города </w:t>
      </w:r>
      <w:r w:rsidR="00D25F5C" w:rsidRPr="00C82CBB">
        <w:rPr>
          <w:sz w:val="28"/>
          <w:szCs w:val="28"/>
        </w:rPr>
        <w:t>об утверждении административных регламентов пред</w:t>
      </w:r>
      <w:r w:rsidR="00D25F5C" w:rsidRPr="00C82CBB">
        <w:rPr>
          <w:sz w:val="28"/>
          <w:szCs w:val="28"/>
        </w:rPr>
        <w:t>о</w:t>
      </w:r>
      <w:r w:rsidR="00D25F5C" w:rsidRPr="00C82CBB">
        <w:rPr>
          <w:sz w:val="28"/>
          <w:szCs w:val="28"/>
        </w:rPr>
        <w:t>ставления муниципальн</w:t>
      </w:r>
      <w:r w:rsidR="0057299B" w:rsidRPr="00C82CBB">
        <w:rPr>
          <w:sz w:val="28"/>
          <w:szCs w:val="28"/>
        </w:rPr>
        <w:t>ых услуг, указанных в пунктах 18-26</w:t>
      </w:r>
      <w:r w:rsidR="00D25F5C" w:rsidRPr="00C82CBB">
        <w:rPr>
          <w:sz w:val="28"/>
          <w:szCs w:val="28"/>
        </w:rPr>
        <w:t xml:space="preserve"> приложения </w:t>
      </w:r>
      <w:r w:rsidR="00C82CBB">
        <w:rPr>
          <w:sz w:val="28"/>
          <w:szCs w:val="28"/>
        </w:rPr>
        <w:t xml:space="preserve">          </w:t>
      </w:r>
      <w:r w:rsidR="00D25F5C" w:rsidRPr="00C82CBB">
        <w:rPr>
          <w:sz w:val="28"/>
          <w:szCs w:val="28"/>
        </w:rPr>
        <w:t xml:space="preserve">к настоящему распоряжению, с включением положений о предоставлении </w:t>
      </w:r>
      <w:r w:rsidR="00C82CBB">
        <w:rPr>
          <w:sz w:val="28"/>
          <w:szCs w:val="28"/>
        </w:rPr>
        <w:t xml:space="preserve">    </w:t>
      </w:r>
      <w:r w:rsidR="00D25F5C" w:rsidRPr="00C82CBB">
        <w:rPr>
          <w:sz w:val="28"/>
          <w:szCs w:val="28"/>
        </w:rPr>
        <w:t xml:space="preserve">муниципальных услуг через муниципальное казенное учреждение </w:t>
      </w:r>
      <w:r w:rsidR="00C82CBB" w:rsidRPr="00C82CBB">
        <w:rPr>
          <w:sz w:val="28"/>
          <w:szCs w:val="28"/>
        </w:rPr>
        <w:t>"</w:t>
      </w:r>
      <w:proofErr w:type="spellStart"/>
      <w:r w:rsidR="00D25F5C" w:rsidRPr="00C82CBB">
        <w:rPr>
          <w:sz w:val="28"/>
          <w:szCs w:val="28"/>
        </w:rPr>
        <w:t>Нижнева</w:t>
      </w:r>
      <w:r w:rsidR="00D25F5C" w:rsidRPr="00C82CBB">
        <w:rPr>
          <w:sz w:val="28"/>
          <w:szCs w:val="28"/>
        </w:rPr>
        <w:t>р</w:t>
      </w:r>
      <w:r w:rsidR="00D25F5C" w:rsidRPr="00C82CBB">
        <w:rPr>
          <w:sz w:val="28"/>
          <w:szCs w:val="28"/>
        </w:rPr>
        <w:t>товский</w:t>
      </w:r>
      <w:proofErr w:type="spellEnd"/>
      <w:r w:rsidR="00D25F5C" w:rsidRPr="00C82CBB">
        <w:rPr>
          <w:sz w:val="28"/>
          <w:szCs w:val="28"/>
        </w:rPr>
        <w:t xml:space="preserve"> многофункциональный центр предоставления государственных </w:t>
      </w:r>
      <w:r w:rsidR="00C82CBB">
        <w:rPr>
          <w:sz w:val="28"/>
          <w:szCs w:val="28"/>
        </w:rPr>
        <w:t xml:space="preserve">            </w:t>
      </w:r>
      <w:r w:rsidR="00D25F5C" w:rsidRPr="00C82CBB">
        <w:rPr>
          <w:sz w:val="28"/>
          <w:szCs w:val="28"/>
        </w:rPr>
        <w:t>и муниципальных услуг</w:t>
      </w:r>
      <w:r w:rsidR="00C82CBB"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>.</w:t>
      </w:r>
    </w:p>
    <w:p w:rsidR="00C82CBB" w:rsidRPr="00C82CBB" w:rsidRDefault="00C82CBB" w:rsidP="00C82CBB">
      <w:pPr>
        <w:ind w:firstLine="709"/>
        <w:jc w:val="both"/>
        <w:rPr>
          <w:sz w:val="28"/>
          <w:szCs w:val="28"/>
        </w:rPr>
      </w:pPr>
    </w:p>
    <w:p w:rsidR="008A15E7" w:rsidRPr="00C82CBB" w:rsidRDefault="008A15E7" w:rsidP="00C82CBB">
      <w:pPr>
        <w:ind w:firstLine="709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3</w:t>
      </w:r>
      <w:r w:rsidR="00D25F5C" w:rsidRPr="00C82CBB">
        <w:rPr>
          <w:sz w:val="28"/>
          <w:szCs w:val="28"/>
        </w:rPr>
        <w:t xml:space="preserve">. Департаменту экономики администрации города (Л.М. Тумбинская) разместить на официальном сайте органов местного самоуправления города Нижневартовска перечень муниципальных услуг, предоставление которых осуществляется по принципу </w:t>
      </w:r>
      <w:r w:rsidR="00C82CBB"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>одного окна</w:t>
      </w:r>
      <w:r w:rsidR="00C82CBB"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 xml:space="preserve"> через муниципальное казенное учреждение </w:t>
      </w:r>
      <w:r w:rsidR="00C82CBB" w:rsidRPr="00C82CBB">
        <w:rPr>
          <w:sz w:val="28"/>
          <w:szCs w:val="28"/>
        </w:rPr>
        <w:t>"</w:t>
      </w:r>
      <w:proofErr w:type="spellStart"/>
      <w:r w:rsidR="00D25F5C" w:rsidRPr="00C82CBB">
        <w:rPr>
          <w:sz w:val="28"/>
          <w:szCs w:val="28"/>
        </w:rPr>
        <w:t>Нижневартовский</w:t>
      </w:r>
      <w:proofErr w:type="spellEnd"/>
      <w:r w:rsidR="00D25F5C" w:rsidRPr="00C82CBB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C82CBB" w:rsidRPr="00C82CBB">
        <w:rPr>
          <w:sz w:val="28"/>
          <w:szCs w:val="28"/>
        </w:rPr>
        <w:t>"</w:t>
      </w:r>
      <w:r w:rsidR="00D25F5C" w:rsidRPr="00C82CBB">
        <w:rPr>
          <w:sz w:val="28"/>
          <w:szCs w:val="28"/>
        </w:rPr>
        <w:t>, согласно приложению к настоящ</w:t>
      </w:r>
      <w:r w:rsidR="00D25F5C" w:rsidRPr="00C82CBB">
        <w:rPr>
          <w:sz w:val="28"/>
          <w:szCs w:val="28"/>
        </w:rPr>
        <w:t>е</w:t>
      </w:r>
      <w:r w:rsidR="00D25F5C" w:rsidRPr="00C82CBB">
        <w:rPr>
          <w:sz w:val="28"/>
          <w:szCs w:val="28"/>
        </w:rPr>
        <w:t>му распоряжению.</w:t>
      </w:r>
    </w:p>
    <w:p w:rsidR="00FF7A5B" w:rsidRPr="00C82CBB" w:rsidRDefault="00FF7A5B" w:rsidP="00C82CBB">
      <w:pPr>
        <w:jc w:val="both"/>
        <w:rPr>
          <w:sz w:val="28"/>
          <w:szCs w:val="28"/>
        </w:rPr>
      </w:pPr>
    </w:p>
    <w:p w:rsidR="00C82CBB" w:rsidRPr="00C82CBB" w:rsidRDefault="00C82CBB" w:rsidP="00C82CBB">
      <w:pPr>
        <w:jc w:val="both"/>
        <w:rPr>
          <w:sz w:val="28"/>
          <w:szCs w:val="28"/>
        </w:rPr>
      </w:pPr>
    </w:p>
    <w:p w:rsidR="00C82CBB" w:rsidRPr="00C82CBB" w:rsidRDefault="00C82CBB" w:rsidP="00C82CBB">
      <w:pPr>
        <w:jc w:val="both"/>
        <w:rPr>
          <w:sz w:val="28"/>
          <w:szCs w:val="28"/>
        </w:rPr>
      </w:pPr>
    </w:p>
    <w:p w:rsidR="008C2E42" w:rsidRDefault="008C2E42" w:rsidP="00C82C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25F5C" w:rsidRDefault="008C2E42" w:rsidP="00C82C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16C38" w:rsidRPr="00C82CBB">
        <w:rPr>
          <w:sz w:val="28"/>
          <w:szCs w:val="28"/>
        </w:rPr>
        <w:t xml:space="preserve"> администрации города      </w:t>
      </w:r>
      <w:r w:rsidR="00273E30" w:rsidRPr="00C82CBB">
        <w:rPr>
          <w:sz w:val="28"/>
          <w:szCs w:val="28"/>
        </w:rPr>
        <w:t xml:space="preserve">           </w:t>
      </w:r>
      <w:r w:rsidR="008A15E7" w:rsidRPr="00C82CBB">
        <w:rPr>
          <w:sz w:val="28"/>
          <w:szCs w:val="28"/>
        </w:rPr>
        <w:t xml:space="preserve">         </w:t>
      </w:r>
      <w:r w:rsidR="00A16C38" w:rsidRPr="00C82CBB">
        <w:rPr>
          <w:sz w:val="28"/>
          <w:szCs w:val="28"/>
        </w:rPr>
        <w:t xml:space="preserve">                </w:t>
      </w:r>
      <w:r w:rsidR="00C82CBB">
        <w:rPr>
          <w:sz w:val="28"/>
          <w:szCs w:val="28"/>
        </w:rPr>
        <w:t xml:space="preserve">        </w:t>
      </w:r>
      <w:r w:rsidR="00A16C38" w:rsidRPr="00C82CBB">
        <w:rPr>
          <w:sz w:val="28"/>
          <w:szCs w:val="28"/>
        </w:rPr>
        <w:t xml:space="preserve">     </w:t>
      </w:r>
      <w:r w:rsidR="00273E30" w:rsidRPr="00C82C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16C38" w:rsidRPr="00C82CBB">
        <w:rPr>
          <w:sz w:val="28"/>
          <w:szCs w:val="28"/>
        </w:rPr>
        <w:t xml:space="preserve"> </w:t>
      </w:r>
      <w:r>
        <w:rPr>
          <w:sz w:val="28"/>
          <w:szCs w:val="28"/>
        </w:rPr>
        <w:t>С.А. Левкин</w:t>
      </w:r>
    </w:p>
    <w:p w:rsidR="00C82CBB" w:rsidRDefault="00C82CBB" w:rsidP="00C82CBB">
      <w:pPr>
        <w:jc w:val="both"/>
        <w:rPr>
          <w:sz w:val="28"/>
          <w:szCs w:val="28"/>
        </w:rPr>
      </w:pPr>
    </w:p>
    <w:p w:rsidR="00C82CBB" w:rsidRPr="00C82CBB" w:rsidRDefault="00C82CBB" w:rsidP="00C82CBB">
      <w:pPr>
        <w:jc w:val="both"/>
        <w:rPr>
          <w:sz w:val="28"/>
          <w:szCs w:val="28"/>
        </w:rPr>
      </w:pPr>
    </w:p>
    <w:p w:rsidR="00B75B58" w:rsidRPr="00C82CBB" w:rsidRDefault="00B75B58" w:rsidP="00C82CBB">
      <w:pPr>
        <w:ind w:firstLine="5812"/>
        <w:jc w:val="both"/>
        <w:rPr>
          <w:sz w:val="28"/>
          <w:szCs w:val="28"/>
        </w:rPr>
      </w:pPr>
      <w:r w:rsidRPr="00A16C38">
        <w:br w:type="page"/>
      </w:r>
      <w:r w:rsidRPr="00C82CBB">
        <w:rPr>
          <w:sz w:val="28"/>
          <w:szCs w:val="28"/>
        </w:rPr>
        <w:lastRenderedPageBreak/>
        <w:t>Приложение к распоряжению</w:t>
      </w:r>
    </w:p>
    <w:p w:rsidR="00B75B58" w:rsidRPr="00C82CBB" w:rsidRDefault="00B75B58" w:rsidP="00C82CBB">
      <w:pPr>
        <w:ind w:firstLine="5812"/>
        <w:jc w:val="both"/>
        <w:rPr>
          <w:sz w:val="28"/>
          <w:szCs w:val="28"/>
        </w:rPr>
      </w:pPr>
      <w:r w:rsidRPr="00C82CBB">
        <w:rPr>
          <w:sz w:val="28"/>
          <w:szCs w:val="28"/>
        </w:rPr>
        <w:t>администрации города</w:t>
      </w:r>
    </w:p>
    <w:p w:rsidR="00B75B58" w:rsidRPr="00C82CBB" w:rsidRDefault="00D151F8" w:rsidP="00C82CBB">
      <w:pPr>
        <w:ind w:firstLine="5812"/>
        <w:jc w:val="both"/>
        <w:rPr>
          <w:sz w:val="28"/>
          <w:szCs w:val="28"/>
        </w:rPr>
      </w:pPr>
      <w:r w:rsidRPr="00D151F8">
        <w:rPr>
          <w:sz w:val="28"/>
          <w:szCs w:val="28"/>
        </w:rPr>
        <w:t>от 23.11.2015 №1946-р</w:t>
      </w:r>
    </w:p>
    <w:p w:rsidR="00A16C38" w:rsidRPr="00BD14E0" w:rsidRDefault="00A16C38" w:rsidP="00BD14E0">
      <w:pPr>
        <w:jc w:val="both"/>
        <w:rPr>
          <w:b/>
          <w:sz w:val="32"/>
          <w:szCs w:val="28"/>
        </w:rPr>
      </w:pPr>
    </w:p>
    <w:p w:rsidR="00B75B58" w:rsidRP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>Перечень</w:t>
      </w:r>
    </w:p>
    <w:p w:rsid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>муниципальных услуг, предоставление которых</w:t>
      </w:r>
    </w:p>
    <w:p w:rsid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>осуществляется по</w:t>
      </w:r>
      <w:r w:rsidR="00A16C38">
        <w:rPr>
          <w:b/>
          <w:sz w:val="28"/>
          <w:szCs w:val="28"/>
        </w:rPr>
        <w:t xml:space="preserve"> </w:t>
      </w:r>
      <w:r w:rsidRPr="00A16C38">
        <w:rPr>
          <w:b/>
          <w:sz w:val="28"/>
          <w:szCs w:val="28"/>
        </w:rPr>
        <w:t xml:space="preserve">принципу </w:t>
      </w:r>
      <w:r w:rsidR="00C82CBB">
        <w:rPr>
          <w:b/>
          <w:sz w:val="28"/>
          <w:szCs w:val="28"/>
        </w:rPr>
        <w:t>"</w:t>
      </w:r>
      <w:r w:rsidRPr="00A16C38">
        <w:rPr>
          <w:b/>
          <w:sz w:val="28"/>
          <w:szCs w:val="28"/>
        </w:rPr>
        <w:t>одного окна</w:t>
      </w:r>
      <w:r w:rsidR="00C82CBB">
        <w:rPr>
          <w:b/>
          <w:sz w:val="28"/>
          <w:szCs w:val="28"/>
        </w:rPr>
        <w:t>"</w:t>
      </w:r>
    </w:p>
    <w:p w:rsidR="00B75B58" w:rsidRP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>через муниципальное казенное учреждение</w:t>
      </w:r>
    </w:p>
    <w:p w:rsidR="00A16C38" w:rsidRDefault="00C82CBB" w:rsidP="00A1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B75B58" w:rsidRPr="00A16C38">
        <w:rPr>
          <w:b/>
          <w:sz w:val="28"/>
          <w:szCs w:val="28"/>
        </w:rPr>
        <w:t>Нижневарто</w:t>
      </w:r>
      <w:r w:rsidR="00A16C38">
        <w:rPr>
          <w:b/>
          <w:sz w:val="28"/>
          <w:szCs w:val="28"/>
        </w:rPr>
        <w:t>вский</w:t>
      </w:r>
      <w:proofErr w:type="spellEnd"/>
      <w:r w:rsidR="00A16C38">
        <w:rPr>
          <w:b/>
          <w:sz w:val="28"/>
          <w:szCs w:val="28"/>
        </w:rPr>
        <w:t xml:space="preserve"> многофункциональный центр</w:t>
      </w:r>
    </w:p>
    <w:p w:rsid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>предоставления государственных и муниципальных услуг</w:t>
      </w:r>
      <w:r w:rsidR="00C82CBB">
        <w:rPr>
          <w:b/>
          <w:sz w:val="28"/>
          <w:szCs w:val="28"/>
        </w:rPr>
        <w:t>"</w:t>
      </w:r>
    </w:p>
    <w:p w:rsidR="00B75B58" w:rsidRPr="00A16C38" w:rsidRDefault="00B75B58" w:rsidP="00A16C38">
      <w:pPr>
        <w:jc w:val="center"/>
        <w:rPr>
          <w:b/>
          <w:sz w:val="28"/>
          <w:szCs w:val="28"/>
        </w:rPr>
      </w:pPr>
      <w:r w:rsidRPr="00A16C38">
        <w:rPr>
          <w:b/>
          <w:sz w:val="28"/>
          <w:szCs w:val="28"/>
        </w:rPr>
        <w:t xml:space="preserve">(далее </w:t>
      </w:r>
      <w:r w:rsidR="00C82CBB">
        <w:rPr>
          <w:b/>
          <w:sz w:val="28"/>
          <w:szCs w:val="28"/>
        </w:rPr>
        <w:t>-</w:t>
      </w:r>
      <w:r w:rsidRPr="00A16C38">
        <w:rPr>
          <w:b/>
          <w:sz w:val="28"/>
          <w:szCs w:val="28"/>
        </w:rPr>
        <w:t xml:space="preserve"> МФЦ)</w:t>
      </w:r>
    </w:p>
    <w:p w:rsidR="00A16C38" w:rsidRPr="00BD14E0" w:rsidRDefault="00A16C38" w:rsidP="00A16C38">
      <w:pPr>
        <w:jc w:val="center"/>
        <w:rPr>
          <w:b/>
          <w:sz w:val="28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9"/>
        <w:gridCol w:w="2693"/>
      </w:tblGrid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>№</w:t>
            </w:r>
          </w:p>
          <w:p w:rsidR="00B75B58" w:rsidRPr="00C82CBB" w:rsidRDefault="00B75B58" w:rsidP="00A16C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C82CBB">
              <w:rPr>
                <w:b/>
                <w:sz w:val="24"/>
                <w:szCs w:val="24"/>
              </w:rPr>
              <w:t>п</w:t>
            </w:r>
            <w:proofErr w:type="gramEnd"/>
            <w:r w:rsidRPr="00C82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75B58" w:rsidRPr="00C82CBB" w:rsidRDefault="00B75B58" w:rsidP="00A16C38">
            <w:pPr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>Срок</w:t>
            </w:r>
            <w:r w:rsidR="00A16C38" w:rsidRPr="00C82CBB">
              <w:rPr>
                <w:b/>
                <w:sz w:val="24"/>
                <w:szCs w:val="24"/>
              </w:rPr>
              <w:t xml:space="preserve"> </w:t>
            </w:r>
            <w:r w:rsidRPr="00C82CBB">
              <w:rPr>
                <w:b/>
                <w:sz w:val="24"/>
                <w:szCs w:val="24"/>
              </w:rPr>
              <w:t>начала</w:t>
            </w:r>
          </w:p>
          <w:p w:rsidR="00C82CBB" w:rsidRDefault="00B75B58" w:rsidP="00A16C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 xml:space="preserve">предоставления </w:t>
            </w:r>
          </w:p>
          <w:p w:rsidR="00B75B58" w:rsidRPr="00C82CBB" w:rsidRDefault="00B75B58" w:rsidP="00A16C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>муниципальной</w:t>
            </w:r>
          </w:p>
          <w:p w:rsidR="00C82CBB" w:rsidRPr="00C82CBB" w:rsidRDefault="00B75B58" w:rsidP="00C82CB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82CBB">
              <w:rPr>
                <w:b/>
                <w:sz w:val="24"/>
                <w:szCs w:val="24"/>
              </w:rPr>
              <w:t>услуги через МФЦ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 xml:space="preserve">Присвоение </w:t>
            </w:r>
            <w:r w:rsidR="00CC7432" w:rsidRPr="00C82CBB">
              <w:rPr>
                <w:sz w:val="24"/>
                <w:szCs w:val="24"/>
              </w:rPr>
              <w:t>объекту адресации адреса, аннулирование его адреса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специального разрешения на движение по автом</w:t>
            </w:r>
            <w:r w:rsidRPr="00C82CBB">
              <w:rPr>
                <w:sz w:val="24"/>
                <w:szCs w:val="24"/>
              </w:rPr>
              <w:t>о</w:t>
            </w:r>
            <w:r w:rsidRPr="00C82CBB">
              <w:rPr>
                <w:sz w:val="24"/>
                <w:szCs w:val="24"/>
              </w:rPr>
              <w:t>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 xml:space="preserve">Прием заявлений и выдача документов о согласовании </w:t>
            </w:r>
            <w:r w:rsidR="00BD14E0">
              <w:rPr>
                <w:sz w:val="24"/>
                <w:szCs w:val="24"/>
              </w:rPr>
              <w:t xml:space="preserve">    </w:t>
            </w:r>
            <w:r w:rsidRPr="00C82CBB">
              <w:rPr>
                <w:sz w:val="24"/>
                <w:szCs w:val="24"/>
              </w:rPr>
              <w:t>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разрешений на установку и эксплуатацию</w:t>
            </w:r>
            <w:r w:rsidR="00C82CBB">
              <w:rPr>
                <w:sz w:val="24"/>
                <w:szCs w:val="24"/>
              </w:rPr>
              <w:t xml:space="preserve"> </w:t>
            </w:r>
            <w:r w:rsidRPr="00C82CBB">
              <w:rPr>
                <w:sz w:val="24"/>
                <w:szCs w:val="24"/>
              </w:rPr>
              <w:t>рекла</w:t>
            </w:r>
            <w:r w:rsidRPr="00C82CBB">
              <w:rPr>
                <w:sz w:val="24"/>
                <w:szCs w:val="24"/>
              </w:rPr>
              <w:t>м</w:t>
            </w:r>
            <w:r w:rsidRPr="00C82CBB">
              <w:rPr>
                <w:sz w:val="24"/>
                <w:szCs w:val="24"/>
              </w:rPr>
              <w:t>ных конструкций, аннулирование таких разрешений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разрешений на снос или пересадку зеленых наса</w:t>
            </w:r>
            <w:r w:rsidRPr="00C82CBB">
              <w:rPr>
                <w:sz w:val="24"/>
                <w:szCs w:val="24"/>
              </w:rPr>
              <w:t>ж</w:t>
            </w:r>
            <w:r w:rsidRPr="00C82CBB">
              <w:rPr>
                <w:sz w:val="24"/>
                <w:szCs w:val="24"/>
              </w:rPr>
              <w:t>дений на территории города Нижневартовска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57299B" w:rsidRPr="00C82CBB" w:rsidTr="00BD14E0">
        <w:tc>
          <w:tcPr>
            <w:tcW w:w="567" w:type="dxa"/>
          </w:tcPr>
          <w:p w:rsidR="0057299B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57299B" w:rsidRPr="00C82CBB" w:rsidRDefault="0057299B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693" w:type="dxa"/>
          </w:tcPr>
          <w:p w:rsidR="0057299B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12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13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Осуществление защиты прав потребителей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14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разрешений на право организации розничных ры</w:t>
            </w:r>
            <w:r w:rsidRPr="00C82CBB">
              <w:rPr>
                <w:sz w:val="24"/>
                <w:szCs w:val="24"/>
              </w:rPr>
              <w:t>н</w:t>
            </w:r>
            <w:r w:rsidRPr="00C82CBB">
              <w:rPr>
                <w:sz w:val="24"/>
                <w:szCs w:val="24"/>
              </w:rPr>
              <w:t>ков на территории города Нижневартовска</w:t>
            </w:r>
          </w:p>
        </w:tc>
        <w:tc>
          <w:tcPr>
            <w:tcW w:w="2693" w:type="dxa"/>
          </w:tcPr>
          <w:p w:rsidR="00B75B58" w:rsidRPr="00C82CBB" w:rsidRDefault="00B75B5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08.07.2013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15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жилых помещений муниципального сп</w:t>
            </w:r>
            <w:r w:rsidRPr="00C82CBB">
              <w:rPr>
                <w:sz w:val="24"/>
                <w:szCs w:val="24"/>
              </w:rPr>
              <w:t>е</w:t>
            </w:r>
            <w:r w:rsidRPr="00C82CBB">
              <w:rPr>
                <w:sz w:val="24"/>
                <w:szCs w:val="24"/>
              </w:rPr>
              <w:t xml:space="preserve">циализированного жилищного фонда </w:t>
            </w:r>
          </w:p>
        </w:tc>
        <w:tc>
          <w:tcPr>
            <w:tcW w:w="2693" w:type="dxa"/>
          </w:tcPr>
          <w:p w:rsidR="00963F0F" w:rsidRPr="00C82CBB" w:rsidRDefault="00963F0F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</w:t>
            </w:r>
            <w:r w:rsidR="00694D0D" w:rsidRPr="00C82CBB">
              <w:rPr>
                <w:sz w:val="24"/>
                <w:szCs w:val="24"/>
              </w:rPr>
              <w:t>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CE308C" w:rsidRPr="00C82CBB" w:rsidRDefault="005A68BC" w:rsidP="00C82CBB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(после внедрения</w:t>
            </w:r>
            <w:r w:rsidR="00BD14E0">
              <w:rPr>
                <w:sz w:val="24"/>
                <w:szCs w:val="24"/>
              </w:rPr>
              <w:t xml:space="preserve">          </w:t>
            </w:r>
            <w:r w:rsidRPr="00C82CBB">
              <w:rPr>
                <w:sz w:val="24"/>
                <w:szCs w:val="24"/>
              </w:rPr>
              <w:t xml:space="preserve"> в автоматизированную информационную </w:t>
            </w:r>
            <w:r w:rsidR="00BD14E0">
              <w:rPr>
                <w:sz w:val="24"/>
                <w:szCs w:val="24"/>
              </w:rPr>
              <w:t xml:space="preserve">     </w:t>
            </w:r>
            <w:r w:rsidRPr="00C82CBB">
              <w:rPr>
                <w:sz w:val="24"/>
                <w:szCs w:val="24"/>
              </w:rPr>
              <w:t xml:space="preserve">систему МФЦ (далее </w:t>
            </w:r>
            <w:r w:rsidR="00C82CBB">
              <w:rPr>
                <w:sz w:val="24"/>
                <w:szCs w:val="24"/>
              </w:rPr>
              <w:t>-</w:t>
            </w:r>
            <w:r w:rsidRPr="00C82CBB">
              <w:rPr>
                <w:sz w:val="24"/>
                <w:szCs w:val="24"/>
              </w:rPr>
              <w:t xml:space="preserve"> АИС МФЦ)</w:t>
            </w:r>
            <w:r w:rsidR="00163E42">
              <w:rPr>
                <w:sz w:val="24"/>
                <w:szCs w:val="24"/>
              </w:rPr>
              <w:t>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lastRenderedPageBreak/>
              <w:t>16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</w:t>
            </w:r>
            <w:r w:rsidRPr="00C82CBB">
              <w:rPr>
                <w:sz w:val="24"/>
                <w:szCs w:val="24"/>
              </w:rPr>
              <w:t>и</w:t>
            </w:r>
            <w:r w:rsidRPr="00C82CBB">
              <w:rPr>
                <w:sz w:val="24"/>
                <w:szCs w:val="24"/>
              </w:rPr>
              <w:t xml:space="preserve">дуального жилищного строительства, осуществляемому </w:t>
            </w:r>
            <w:r w:rsidR="00BD14E0">
              <w:rPr>
                <w:sz w:val="24"/>
                <w:szCs w:val="24"/>
              </w:rPr>
              <w:t xml:space="preserve">     </w:t>
            </w:r>
            <w:r w:rsidRPr="00C82CBB">
              <w:rPr>
                <w:sz w:val="24"/>
                <w:szCs w:val="24"/>
              </w:rPr>
              <w:t>с привлечением средств материнского (семейного) капит</w:t>
            </w:r>
            <w:r w:rsidRPr="00C82CBB">
              <w:rPr>
                <w:sz w:val="24"/>
                <w:szCs w:val="24"/>
              </w:rPr>
              <w:t>а</w:t>
            </w:r>
            <w:r w:rsidRPr="00C82CBB">
              <w:rPr>
                <w:sz w:val="24"/>
                <w:szCs w:val="24"/>
              </w:rPr>
              <w:t xml:space="preserve">ла 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17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 xml:space="preserve">Предоставление жилых помещений муниципального </w:t>
            </w:r>
            <w:r w:rsidR="00BD14E0">
              <w:rPr>
                <w:sz w:val="24"/>
                <w:szCs w:val="24"/>
              </w:rPr>
              <w:t xml:space="preserve">       </w:t>
            </w:r>
            <w:r w:rsidRPr="00C82CBB">
              <w:rPr>
                <w:sz w:val="24"/>
                <w:szCs w:val="24"/>
              </w:rPr>
              <w:t>жилищного фонда коммерческого использования</w:t>
            </w:r>
            <w:r w:rsidR="00C82CBB">
              <w:rPr>
                <w:sz w:val="24"/>
                <w:szCs w:val="24"/>
              </w:rPr>
              <w:t xml:space="preserve"> </w:t>
            </w:r>
            <w:r w:rsidRPr="00C82CBB">
              <w:rPr>
                <w:sz w:val="24"/>
                <w:szCs w:val="24"/>
              </w:rPr>
              <w:t>по дог</w:t>
            </w:r>
            <w:r w:rsidRPr="00C82CBB">
              <w:rPr>
                <w:sz w:val="24"/>
                <w:szCs w:val="24"/>
              </w:rPr>
              <w:t>о</w:t>
            </w:r>
            <w:r w:rsidRPr="00C82CBB">
              <w:rPr>
                <w:sz w:val="24"/>
                <w:szCs w:val="24"/>
              </w:rPr>
              <w:t>вору найма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18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з</w:t>
            </w:r>
            <w:r w:rsidR="00C82CBB">
              <w:rPr>
                <w:sz w:val="24"/>
                <w:szCs w:val="24"/>
              </w:rPr>
              <w:t>емельного участка, находящегося</w:t>
            </w:r>
            <w:r w:rsidR="00A16C38" w:rsidRPr="00C82CBB">
              <w:rPr>
                <w:sz w:val="24"/>
                <w:szCs w:val="24"/>
              </w:rPr>
              <w:t xml:space="preserve"> </w:t>
            </w:r>
            <w:r w:rsidR="00BD14E0">
              <w:rPr>
                <w:sz w:val="24"/>
                <w:szCs w:val="24"/>
              </w:rPr>
              <w:t xml:space="preserve">              </w:t>
            </w:r>
            <w:r w:rsidRPr="00C82CBB">
              <w:rPr>
                <w:sz w:val="24"/>
                <w:szCs w:val="24"/>
              </w:rPr>
              <w:t xml:space="preserve">в муниципальной собственности или государственная </w:t>
            </w:r>
            <w:r w:rsidR="00BD14E0">
              <w:rPr>
                <w:sz w:val="24"/>
                <w:szCs w:val="24"/>
              </w:rPr>
              <w:t xml:space="preserve">    </w:t>
            </w:r>
            <w:r w:rsidRPr="00C82CBB">
              <w:rPr>
                <w:sz w:val="24"/>
                <w:szCs w:val="24"/>
              </w:rPr>
              <w:t>собственность на который не разграничена, в аренду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(после </w:t>
            </w:r>
            <w:r w:rsidR="005A68BC" w:rsidRPr="00C82CB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19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Выдача разрешения на использование земель или земел</w:t>
            </w:r>
            <w:r w:rsidRPr="00C82CBB">
              <w:rPr>
                <w:sz w:val="24"/>
                <w:szCs w:val="24"/>
              </w:rPr>
              <w:t>ь</w:t>
            </w:r>
            <w:r w:rsidRPr="00C82CBB">
              <w:rPr>
                <w:sz w:val="24"/>
                <w:szCs w:val="24"/>
              </w:rPr>
              <w:t>ного участка, находящихся в муниципальной собственн</w:t>
            </w:r>
            <w:r w:rsidRPr="00C82CBB">
              <w:rPr>
                <w:sz w:val="24"/>
                <w:szCs w:val="24"/>
              </w:rPr>
              <w:t>о</w:t>
            </w:r>
            <w:r w:rsidRPr="00C82CBB">
              <w:rPr>
                <w:sz w:val="24"/>
                <w:szCs w:val="24"/>
              </w:rPr>
              <w:t>сти или государственная собственность на которые не ра</w:t>
            </w:r>
            <w:r w:rsidRPr="00C82CBB">
              <w:rPr>
                <w:sz w:val="24"/>
                <w:szCs w:val="24"/>
              </w:rPr>
              <w:t>з</w:t>
            </w:r>
            <w:r w:rsidRPr="00C82CBB">
              <w:rPr>
                <w:sz w:val="24"/>
                <w:szCs w:val="24"/>
              </w:rPr>
              <w:t>граничена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(после </w:t>
            </w:r>
            <w:r w:rsidR="005A68BC" w:rsidRPr="00C82CB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20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</w:t>
            </w:r>
            <w:r w:rsidRPr="00C82CBB">
              <w:rPr>
                <w:sz w:val="24"/>
                <w:szCs w:val="24"/>
              </w:rPr>
              <w:t>д</w:t>
            </w:r>
            <w:r w:rsidRPr="00C82CBB">
              <w:rPr>
                <w:sz w:val="24"/>
                <w:szCs w:val="24"/>
              </w:rPr>
              <w:t>ничества, дачного</w:t>
            </w:r>
            <w:r w:rsidR="00A16C38" w:rsidRPr="00C82CBB">
              <w:rPr>
                <w:sz w:val="24"/>
                <w:szCs w:val="24"/>
              </w:rPr>
              <w:t xml:space="preserve"> </w:t>
            </w:r>
            <w:r w:rsidRPr="00C82CBB">
              <w:rPr>
                <w:sz w:val="24"/>
                <w:szCs w:val="24"/>
              </w:rPr>
              <w:t>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r w:rsidR="00BD14E0">
              <w:rPr>
                <w:sz w:val="24"/>
                <w:szCs w:val="24"/>
              </w:rPr>
              <w:t>,</w:t>
            </w:r>
            <w:r w:rsidR="00BD14E0" w:rsidRPr="00C82CBB"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21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земельн</w:t>
            </w:r>
            <w:r w:rsidR="00AE2AF2">
              <w:rPr>
                <w:sz w:val="24"/>
                <w:szCs w:val="24"/>
              </w:rPr>
              <w:t>ых</w:t>
            </w:r>
            <w:r w:rsidRPr="00C82CBB">
              <w:rPr>
                <w:sz w:val="24"/>
                <w:szCs w:val="24"/>
              </w:rPr>
              <w:t xml:space="preserve"> участк</w:t>
            </w:r>
            <w:r w:rsidR="00AE2AF2">
              <w:rPr>
                <w:sz w:val="24"/>
                <w:szCs w:val="24"/>
              </w:rPr>
              <w:t>ов</w:t>
            </w:r>
            <w:r w:rsidRPr="00C82CBB">
              <w:rPr>
                <w:sz w:val="24"/>
                <w:szCs w:val="24"/>
              </w:rPr>
              <w:t>, находящ</w:t>
            </w:r>
            <w:r w:rsidR="00AE2AF2">
              <w:rPr>
                <w:sz w:val="24"/>
                <w:szCs w:val="24"/>
              </w:rPr>
              <w:t>их</w:t>
            </w:r>
            <w:r w:rsidRPr="00C82CBB">
              <w:rPr>
                <w:sz w:val="24"/>
                <w:szCs w:val="24"/>
              </w:rPr>
              <w:t>ся</w:t>
            </w:r>
            <w:r w:rsidR="00C82CBB">
              <w:rPr>
                <w:sz w:val="24"/>
                <w:szCs w:val="24"/>
              </w:rPr>
              <w:t xml:space="preserve"> </w:t>
            </w:r>
            <w:r w:rsidRPr="00C82CBB">
              <w:rPr>
                <w:sz w:val="24"/>
                <w:szCs w:val="24"/>
              </w:rPr>
              <w:t>в мун</w:t>
            </w:r>
            <w:r w:rsidRPr="00C82CBB">
              <w:rPr>
                <w:sz w:val="24"/>
                <w:szCs w:val="24"/>
              </w:rPr>
              <w:t>и</w:t>
            </w:r>
            <w:r w:rsidRPr="00C82CBB">
              <w:rPr>
                <w:sz w:val="24"/>
                <w:szCs w:val="24"/>
              </w:rPr>
              <w:t>ципальной собственности или государственная собстве</w:t>
            </w:r>
            <w:r w:rsidRPr="00C82CBB">
              <w:rPr>
                <w:sz w:val="24"/>
                <w:szCs w:val="24"/>
              </w:rPr>
              <w:t>н</w:t>
            </w:r>
            <w:r w:rsidRPr="00C82CBB">
              <w:rPr>
                <w:sz w:val="24"/>
                <w:szCs w:val="24"/>
              </w:rPr>
              <w:t>ность на которы</w:t>
            </w:r>
            <w:r w:rsidR="00AE2AF2">
              <w:rPr>
                <w:sz w:val="24"/>
                <w:szCs w:val="24"/>
              </w:rPr>
              <w:t>е</w:t>
            </w:r>
            <w:r w:rsidRPr="00C82CBB">
              <w:rPr>
                <w:sz w:val="24"/>
                <w:szCs w:val="24"/>
              </w:rPr>
              <w:t xml:space="preserve"> не разграничена, без торгов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22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земельн</w:t>
            </w:r>
            <w:r w:rsidR="00AE2AF2">
              <w:rPr>
                <w:sz w:val="24"/>
                <w:szCs w:val="24"/>
              </w:rPr>
              <w:t>ых</w:t>
            </w:r>
            <w:r w:rsidRPr="00C82CBB">
              <w:rPr>
                <w:sz w:val="24"/>
                <w:szCs w:val="24"/>
              </w:rPr>
              <w:t xml:space="preserve"> участк</w:t>
            </w:r>
            <w:r w:rsidR="00AE2AF2">
              <w:rPr>
                <w:sz w:val="24"/>
                <w:szCs w:val="24"/>
              </w:rPr>
              <w:t>ов</w:t>
            </w:r>
            <w:r w:rsidRPr="00C82CBB">
              <w:rPr>
                <w:sz w:val="24"/>
                <w:szCs w:val="24"/>
              </w:rPr>
              <w:t>, находящ</w:t>
            </w:r>
            <w:r w:rsidR="00AE2AF2">
              <w:rPr>
                <w:sz w:val="24"/>
                <w:szCs w:val="24"/>
              </w:rPr>
              <w:t>их</w:t>
            </w:r>
            <w:r w:rsidRPr="00C82CBB">
              <w:rPr>
                <w:sz w:val="24"/>
                <w:szCs w:val="24"/>
              </w:rPr>
              <w:t>ся в мун</w:t>
            </w:r>
            <w:r w:rsidRPr="00C82CBB">
              <w:rPr>
                <w:sz w:val="24"/>
                <w:szCs w:val="24"/>
              </w:rPr>
              <w:t>и</w:t>
            </w:r>
            <w:r w:rsidRPr="00C82CBB">
              <w:rPr>
                <w:sz w:val="24"/>
                <w:szCs w:val="24"/>
              </w:rPr>
              <w:t>ципальной собственности или государственная собстве</w:t>
            </w:r>
            <w:r w:rsidRPr="00C82CBB">
              <w:rPr>
                <w:sz w:val="24"/>
                <w:szCs w:val="24"/>
              </w:rPr>
              <w:t>н</w:t>
            </w:r>
            <w:r w:rsidRPr="00C82CBB">
              <w:rPr>
                <w:sz w:val="24"/>
                <w:szCs w:val="24"/>
              </w:rPr>
              <w:t>ность на которы</w:t>
            </w:r>
            <w:r w:rsidR="00AE2AF2">
              <w:rPr>
                <w:sz w:val="24"/>
                <w:szCs w:val="24"/>
              </w:rPr>
              <w:t>е</w:t>
            </w:r>
            <w:r w:rsidRPr="00C82CBB">
              <w:rPr>
                <w:sz w:val="24"/>
                <w:szCs w:val="24"/>
              </w:rPr>
              <w:t xml:space="preserve"> не разграничена, в постоянное (бессро</w:t>
            </w:r>
            <w:r w:rsidRPr="00C82CBB">
              <w:rPr>
                <w:sz w:val="24"/>
                <w:szCs w:val="24"/>
              </w:rPr>
              <w:t>ч</w:t>
            </w:r>
            <w:r w:rsidRPr="00C82CBB">
              <w:rPr>
                <w:sz w:val="24"/>
                <w:szCs w:val="24"/>
              </w:rPr>
              <w:t>ное) пользование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23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Предоставление земельн</w:t>
            </w:r>
            <w:r w:rsidR="00AE2AF2">
              <w:rPr>
                <w:sz w:val="24"/>
                <w:szCs w:val="24"/>
              </w:rPr>
              <w:t>ых</w:t>
            </w:r>
            <w:r w:rsidRPr="00C82CBB">
              <w:rPr>
                <w:sz w:val="24"/>
                <w:szCs w:val="24"/>
              </w:rPr>
              <w:t xml:space="preserve"> участк</w:t>
            </w:r>
            <w:r w:rsidR="00AE2AF2">
              <w:rPr>
                <w:sz w:val="24"/>
                <w:szCs w:val="24"/>
              </w:rPr>
              <w:t>ов</w:t>
            </w:r>
            <w:r w:rsidRPr="00C82CBB">
              <w:rPr>
                <w:sz w:val="24"/>
                <w:szCs w:val="24"/>
              </w:rPr>
              <w:t>, находящ</w:t>
            </w:r>
            <w:r w:rsidR="00AE2AF2">
              <w:rPr>
                <w:sz w:val="24"/>
                <w:szCs w:val="24"/>
              </w:rPr>
              <w:t>их</w:t>
            </w:r>
            <w:r w:rsidRPr="00C82CBB">
              <w:rPr>
                <w:sz w:val="24"/>
                <w:szCs w:val="24"/>
              </w:rPr>
              <w:t>ся в мун</w:t>
            </w:r>
            <w:r w:rsidRPr="00C82CBB">
              <w:rPr>
                <w:sz w:val="24"/>
                <w:szCs w:val="24"/>
              </w:rPr>
              <w:t>и</w:t>
            </w:r>
            <w:r w:rsidRPr="00C82CBB">
              <w:rPr>
                <w:sz w:val="24"/>
                <w:szCs w:val="24"/>
              </w:rPr>
              <w:t>ципальной собственности или государственная собстве</w:t>
            </w:r>
            <w:r w:rsidRPr="00C82CBB">
              <w:rPr>
                <w:sz w:val="24"/>
                <w:szCs w:val="24"/>
              </w:rPr>
              <w:t>н</w:t>
            </w:r>
            <w:r w:rsidRPr="00C82CBB">
              <w:rPr>
                <w:sz w:val="24"/>
                <w:szCs w:val="24"/>
              </w:rPr>
              <w:t>ность на которы</w:t>
            </w:r>
            <w:r w:rsidR="00AE2AF2">
              <w:rPr>
                <w:sz w:val="24"/>
                <w:szCs w:val="24"/>
              </w:rPr>
              <w:t xml:space="preserve">е </w:t>
            </w:r>
            <w:r w:rsidRPr="00C82CBB">
              <w:rPr>
                <w:sz w:val="24"/>
                <w:szCs w:val="24"/>
              </w:rPr>
              <w:t>не разграничена, в безвозмездное польз</w:t>
            </w:r>
            <w:r w:rsidRPr="00C82CBB">
              <w:rPr>
                <w:sz w:val="24"/>
                <w:szCs w:val="24"/>
              </w:rPr>
              <w:t>о</w:t>
            </w:r>
            <w:r w:rsidRPr="00C82CBB">
              <w:rPr>
                <w:sz w:val="24"/>
                <w:szCs w:val="24"/>
              </w:rPr>
              <w:t>вание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(после</w:t>
            </w:r>
            <w:r w:rsidR="005A68BC" w:rsidRPr="00C82CBB">
              <w:rPr>
                <w:sz w:val="24"/>
                <w:szCs w:val="24"/>
              </w:rPr>
              <w:t xml:space="preserve">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24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5A68BC" w:rsidP="005A68BC">
            <w:pPr>
              <w:jc w:val="center"/>
              <w:rPr>
                <w:sz w:val="24"/>
                <w:szCs w:val="24"/>
              </w:rPr>
            </w:pPr>
            <w:proofErr w:type="gramStart"/>
            <w:r w:rsidRPr="00C82CBB">
              <w:rPr>
                <w:sz w:val="24"/>
                <w:szCs w:val="24"/>
              </w:rPr>
              <w:t>(после  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B75B58" w:rsidRPr="00C82CBB" w:rsidTr="00BD14E0">
        <w:tc>
          <w:tcPr>
            <w:tcW w:w="567" w:type="dxa"/>
          </w:tcPr>
          <w:p w:rsidR="00B75B58" w:rsidRPr="00C82CBB" w:rsidRDefault="0057299B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25</w:t>
            </w:r>
            <w:r w:rsidR="00B75B5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75B58" w:rsidRPr="00C82CBB" w:rsidRDefault="00B75B5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Прекращение права постоянного (бессрочного) пользов</w:t>
            </w:r>
            <w:r w:rsidRPr="00C82CBB">
              <w:rPr>
                <w:sz w:val="24"/>
                <w:szCs w:val="24"/>
              </w:rPr>
              <w:t>а</w:t>
            </w:r>
            <w:r w:rsidRPr="00C82CBB">
              <w:rPr>
                <w:sz w:val="24"/>
                <w:szCs w:val="24"/>
              </w:rPr>
              <w:t>ния земельными участками, находящимися в муниципал</w:t>
            </w:r>
            <w:r w:rsidRPr="00C82CBB">
              <w:rPr>
                <w:sz w:val="24"/>
                <w:szCs w:val="24"/>
              </w:rPr>
              <w:t>ь</w:t>
            </w:r>
            <w:r w:rsidRPr="00C82CBB">
              <w:rPr>
                <w:sz w:val="24"/>
                <w:szCs w:val="24"/>
              </w:rPr>
              <w:t xml:space="preserve">ной собственности или государственная собственность </w:t>
            </w:r>
            <w:r w:rsidR="00BD14E0">
              <w:rPr>
                <w:sz w:val="24"/>
                <w:szCs w:val="24"/>
              </w:rPr>
              <w:t xml:space="preserve">      </w:t>
            </w:r>
            <w:r w:rsidRPr="00C82CBB">
              <w:rPr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(после </w:t>
            </w:r>
            <w:r w:rsidR="005A68BC" w:rsidRPr="00C82CBB">
              <w:rPr>
                <w:sz w:val="24"/>
                <w:szCs w:val="24"/>
              </w:rPr>
              <w:t>внедрения</w:t>
            </w:r>
            <w:proofErr w:type="gramEnd"/>
          </w:p>
          <w:p w:rsidR="00B75B5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  <w:tr w:rsidR="00E32E68" w:rsidRPr="00C82CBB" w:rsidTr="00BD14E0">
        <w:tc>
          <w:tcPr>
            <w:tcW w:w="567" w:type="dxa"/>
          </w:tcPr>
          <w:p w:rsidR="00E32E68" w:rsidRPr="00C82CBB" w:rsidRDefault="00E32E68" w:rsidP="00A16C38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2</w:t>
            </w:r>
            <w:r w:rsidR="0057299B" w:rsidRPr="00C82CBB">
              <w:rPr>
                <w:sz w:val="24"/>
                <w:szCs w:val="24"/>
              </w:rPr>
              <w:t>6</w:t>
            </w:r>
            <w:r w:rsidR="00306418" w:rsidRPr="00C82CB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32E68" w:rsidRPr="00C82CBB" w:rsidRDefault="00E32E68" w:rsidP="00BD14E0">
            <w:pPr>
              <w:jc w:val="both"/>
              <w:rPr>
                <w:sz w:val="24"/>
                <w:szCs w:val="24"/>
              </w:rPr>
            </w:pPr>
            <w:r w:rsidRPr="00C82CBB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</w:tcPr>
          <w:p w:rsidR="005A68B7" w:rsidRPr="00C82CBB" w:rsidRDefault="00694D0D" w:rsidP="005A68B7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до 01.0</w:t>
            </w:r>
            <w:r w:rsidR="005A68B7" w:rsidRPr="00C82CBB">
              <w:rPr>
                <w:sz w:val="24"/>
                <w:szCs w:val="24"/>
              </w:rPr>
              <w:t>6.2016</w:t>
            </w:r>
          </w:p>
          <w:p w:rsidR="005A68BC" w:rsidRPr="00C82CBB" w:rsidRDefault="00C82CBB" w:rsidP="005A68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(после </w:t>
            </w:r>
            <w:r w:rsidR="005A68BC" w:rsidRPr="00C82CBB">
              <w:rPr>
                <w:sz w:val="24"/>
                <w:szCs w:val="24"/>
              </w:rPr>
              <w:t>внедрения</w:t>
            </w:r>
            <w:proofErr w:type="gramEnd"/>
          </w:p>
          <w:p w:rsidR="00E32E68" w:rsidRPr="00C82CBB" w:rsidRDefault="005A68BC" w:rsidP="005A68BC">
            <w:pPr>
              <w:jc w:val="center"/>
              <w:rPr>
                <w:sz w:val="24"/>
                <w:szCs w:val="24"/>
              </w:rPr>
            </w:pPr>
            <w:r w:rsidRPr="00C82CBB">
              <w:rPr>
                <w:sz w:val="24"/>
                <w:szCs w:val="24"/>
              </w:rPr>
              <w:t>в АИС МФЦ)</w:t>
            </w:r>
          </w:p>
        </w:tc>
      </w:tr>
    </w:tbl>
    <w:p w:rsidR="002146C4" w:rsidRPr="00A16C38" w:rsidRDefault="002146C4" w:rsidP="00A16C38">
      <w:pPr>
        <w:jc w:val="both"/>
        <w:rPr>
          <w:sz w:val="28"/>
          <w:szCs w:val="28"/>
        </w:rPr>
      </w:pPr>
    </w:p>
    <w:sectPr w:rsidR="002146C4" w:rsidRPr="00A16C38" w:rsidSect="00C82CB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DA" w:rsidRDefault="003F69DA" w:rsidP="00A16C38">
      <w:r>
        <w:separator/>
      </w:r>
    </w:p>
  </w:endnote>
  <w:endnote w:type="continuationSeparator" w:id="0">
    <w:p w:rsidR="003F69DA" w:rsidRDefault="003F69DA" w:rsidP="00A1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DA" w:rsidRDefault="003F69DA" w:rsidP="00A16C38">
      <w:r>
        <w:separator/>
      </w:r>
    </w:p>
  </w:footnote>
  <w:footnote w:type="continuationSeparator" w:id="0">
    <w:p w:rsidR="003F69DA" w:rsidRDefault="003F69DA" w:rsidP="00A1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4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6C38" w:rsidRPr="00A16C38" w:rsidRDefault="00A16C38">
        <w:pPr>
          <w:pStyle w:val="a7"/>
          <w:jc w:val="center"/>
          <w:rPr>
            <w:sz w:val="24"/>
            <w:szCs w:val="24"/>
          </w:rPr>
        </w:pPr>
        <w:r w:rsidRPr="00A16C38">
          <w:rPr>
            <w:sz w:val="24"/>
            <w:szCs w:val="24"/>
          </w:rPr>
          <w:fldChar w:fldCharType="begin"/>
        </w:r>
        <w:r w:rsidRPr="00A16C38">
          <w:rPr>
            <w:sz w:val="24"/>
            <w:szCs w:val="24"/>
          </w:rPr>
          <w:instrText>PAGE   \* MERGEFORMAT</w:instrText>
        </w:r>
        <w:r w:rsidRPr="00A16C38">
          <w:rPr>
            <w:sz w:val="24"/>
            <w:szCs w:val="24"/>
          </w:rPr>
          <w:fldChar w:fldCharType="separate"/>
        </w:r>
        <w:r w:rsidR="00ED42E6">
          <w:rPr>
            <w:noProof/>
            <w:sz w:val="24"/>
            <w:szCs w:val="24"/>
          </w:rPr>
          <w:t>4</w:t>
        </w:r>
        <w:r w:rsidRPr="00A16C3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7108"/>
    <w:multiLevelType w:val="hybridMultilevel"/>
    <w:tmpl w:val="596E4096"/>
    <w:lvl w:ilvl="0" w:tplc="6D501F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C"/>
    <w:rsid w:val="00001E6F"/>
    <w:rsid w:val="00012CB8"/>
    <w:rsid w:val="000254D3"/>
    <w:rsid w:val="00071D14"/>
    <w:rsid w:val="000779D4"/>
    <w:rsid w:val="00090FD0"/>
    <w:rsid w:val="00163E42"/>
    <w:rsid w:val="001C0DDF"/>
    <w:rsid w:val="002069D9"/>
    <w:rsid w:val="002146C4"/>
    <w:rsid w:val="00262A04"/>
    <w:rsid w:val="002676E0"/>
    <w:rsid w:val="00273E30"/>
    <w:rsid w:val="00306418"/>
    <w:rsid w:val="00382EB5"/>
    <w:rsid w:val="003A3500"/>
    <w:rsid w:val="003F69DA"/>
    <w:rsid w:val="004171EF"/>
    <w:rsid w:val="00484A37"/>
    <w:rsid w:val="004E6459"/>
    <w:rsid w:val="00551249"/>
    <w:rsid w:val="00563C96"/>
    <w:rsid w:val="0057299B"/>
    <w:rsid w:val="00595835"/>
    <w:rsid w:val="005A68B7"/>
    <w:rsid w:val="005A68BC"/>
    <w:rsid w:val="005E6646"/>
    <w:rsid w:val="006410BF"/>
    <w:rsid w:val="00694D0D"/>
    <w:rsid w:val="006C786F"/>
    <w:rsid w:val="00717F63"/>
    <w:rsid w:val="007563D1"/>
    <w:rsid w:val="00775A18"/>
    <w:rsid w:val="00794FE8"/>
    <w:rsid w:val="007E555B"/>
    <w:rsid w:val="008709EA"/>
    <w:rsid w:val="00887D26"/>
    <w:rsid w:val="008A15E7"/>
    <w:rsid w:val="008C2E42"/>
    <w:rsid w:val="008D4E84"/>
    <w:rsid w:val="009532EA"/>
    <w:rsid w:val="00963F0F"/>
    <w:rsid w:val="00993990"/>
    <w:rsid w:val="00A166CD"/>
    <w:rsid w:val="00A16C38"/>
    <w:rsid w:val="00A501F1"/>
    <w:rsid w:val="00AE2AF2"/>
    <w:rsid w:val="00B75B58"/>
    <w:rsid w:val="00BD14E0"/>
    <w:rsid w:val="00C82CBB"/>
    <w:rsid w:val="00C93BEC"/>
    <w:rsid w:val="00C97B21"/>
    <w:rsid w:val="00CB3C23"/>
    <w:rsid w:val="00CC055A"/>
    <w:rsid w:val="00CC4372"/>
    <w:rsid w:val="00CC7432"/>
    <w:rsid w:val="00CD1E91"/>
    <w:rsid w:val="00CE308C"/>
    <w:rsid w:val="00D151F8"/>
    <w:rsid w:val="00D25F5C"/>
    <w:rsid w:val="00D75D62"/>
    <w:rsid w:val="00E32E68"/>
    <w:rsid w:val="00ED42E6"/>
    <w:rsid w:val="00EE2206"/>
    <w:rsid w:val="00F73A73"/>
    <w:rsid w:val="00F83392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5F5C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D25F5C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3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C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1976-4E5E-46FF-AA97-FDD14E4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2015-11-23T05:19:00Z</cp:lastPrinted>
  <dcterms:created xsi:type="dcterms:W3CDTF">2015-11-25T04:40:00Z</dcterms:created>
  <dcterms:modified xsi:type="dcterms:W3CDTF">2015-11-25T04:40:00Z</dcterms:modified>
</cp:coreProperties>
</file>