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D2" w:rsidRPr="007460D2" w:rsidRDefault="001A4C83" w:rsidP="007460D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60D2" w:rsidRPr="007460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E23B28" wp14:editId="0504644C">
            <wp:extent cx="609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Контрольно-счетный орган муниципального образования -</w:t>
      </w:r>
    </w:p>
    <w:p w:rsidR="007460D2" w:rsidRPr="007460D2" w:rsidRDefault="007460D2" w:rsidP="007460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0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СЧЕТНАЯ ПАЛАТА ГОРОДА НИЖНЕВАРТОВСКА</w:t>
      </w:r>
    </w:p>
    <w:p w:rsidR="007460D2" w:rsidRPr="007460D2" w:rsidRDefault="007460D2" w:rsidP="007460D2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D2" w:rsidRPr="007460D2" w:rsidRDefault="007460D2" w:rsidP="007460D2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D2" w:rsidRPr="007460D2" w:rsidRDefault="007460D2" w:rsidP="007460D2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D2" w:rsidRPr="007460D2" w:rsidRDefault="007460D2" w:rsidP="007460D2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D2" w:rsidRPr="007460D2" w:rsidRDefault="007460D2" w:rsidP="007460D2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D2" w:rsidRPr="007460D2" w:rsidRDefault="007460D2" w:rsidP="007460D2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D2" w:rsidRPr="007460D2" w:rsidRDefault="007460D2" w:rsidP="007460D2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0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«Общие правила проведения аудита эффективности использования бюджетных средств»</w:t>
      </w: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распоряжению</w:t>
      </w: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067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60677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bookmarkStart w:id="0" w:name="_GoBack"/>
      <w:bookmarkEnd w:id="0"/>
    </w:p>
    <w:p w:rsidR="007460D2" w:rsidRPr="007460D2" w:rsidRDefault="007460D2" w:rsidP="0074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 действия: с 01.01.2022</w:t>
      </w: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2021 год</w:t>
      </w:r>
    </w:p>
    <w:p w:rsidR="007460D2" w:rsidRPr="007460D2" w:rsidRDefault="007460D2" w:rsidP="007460D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60D2" w:rsidRPr="007460D2" w:rsidRDefault="007460D2" w:rsidP="0074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460D2" w:rsidRPr="007460D2" w:rsidRDefault="007460D2" w:rsidP="00746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7791"/>
      </w:tblGrid>
      <w:tr w:rsidR="007460D2" w:rsidRPr="007460D2" w:rsidTr="00F64CDF">
        <w:tc>
          <w:tcPr>
            <w:tcW w:w="846" w:type="dxa"/>
          </w:tcPr>
          <w:p w:rsidR="00EA76FE" w:rsidRDefault="007460D2" w:rsidP="007460D2">
            <w:pPr>
              <w:jc w:val="center"/>
              <w:rPr>
                <w:sz w:val="28"/>
                <w:szCs w:val="28"/>
              </w:rPr>
            </w:pPr>
            <w:r w:rsidRPr="007460D2">
              <w:rPr>
                <w:sz w:val="28"/>
                <w:szCs w:val="28"/>
              </w:rPr>
              <w:t>№ раздела</w:t>
            </w:r>
            <w:r w:rsidR="00EA76FE">
              <w:rPr>
                <w:sz w:val="28"/>
                <w:szCs w:val="28"/>
              </w:rPr>
              <w:t>/</w:t>
            </w:r>
          </w:p>
          <w:p w:rsidR="007460D2" w:rsidRPr="007460D2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подраздела</w:t>
            </w:r>
          </w:p>
        </w:tc>
        <w:tc>
          <w:tcPr>
            <w:tcW w:w="8781" w:type="dxa"/>
          </w:tcPr>
          <w:p w:rsidR="007460D2" w:rsidRPr="007460D2" w:rsidRDefault="007460D2" w:rsidP="007460D2">
            <w:pPr>
              <w:jc w:val="center"/>
              <w:rPr>
                <w:sz w:val="28"/>
                <w:szCs w:val="28"/>
              </w:rPr>
            </w:pPr>
            <w:r w:rsidRPr="007460D2">
              <w:rPr>
                <w:sz w:val="28"/>
                <w:szCs w:val="28"/>
              </w:rPr>
              <w:t>Наименование раздела</w:t>
            </w:r>
            <w:r w:rsidR="00EA76FE">
              <w:rPr>
                <w:sz w:val="28"/>
                <w:szCs w:val="28"/>
              </w:rPr>
              <w:t>/подраздела</w:t>
            </w:r>
          </w:p>
        </w:tc>
      </w:tr>
      <w:tr w:rsidR="007460D2" w:rsidRPr="007460D2" w:rsidTr="00F64CDF">
        <w:tc>
          <w:tcPr>
            <w:tcW w:w="846" w:type="dxa"/>
          </w:tcPr>
          <w:p w:rsidR="007460D2" w:rsidRPr="007460D2" w:rsidRDefault="007460D2" w:rsidP="007460D2">
            <w:pPr>
              <w:jc w:val="center"/>
              <w:rPr>
                <w:sz w:val="28"/>
                <w:szCs w:val="28"/>
              </w:rPr>
            </w:pPr>
            <w:r w:rsidRPr="007460D2">
              <w:rPr>
                <w:sz w:val="28"/>
                <w:szCs w:val="28"/>
              </w:rPr>
              <w:t>1</w:t>
            </w:r>
          </w:p>
        </w:tc>
        <w:tc>
          <w:tcPr>
            <w:tcW w:w="8781" w:type="dxa"/>
          </w:tcPr>
          <w:p w:rsidR="007460D2" w:rsidRPr="007460D2" w:rsidRDefault="007460D2" w:rsidP="007460D2">
            <w:pPr>
              <w:jc w:val="both"/>
              <w:rPr>
                <w:sz w:val="28"/>
                <w:szCs w:val="28"/>
              </w:rPr>
            </w:pPr>
            <w:r w:rsidRPr="007460D2">
              <w:rPr>
                <w:sz w:val="28"/>
                <w:szCs w:val="28"/>
              </w:rPr>
              <w:t>Общие положения</w:t>
            </w:r>
          </w:p>
        </w:tc>
      </w:tr>
      <w:tr w:rsidR="007460D2" w:rsidRPr="007460D2" w:rsidTr="00F64CDF">
        <w:tc>
          <w:tcPr>
            <w:tcW w:w="846" w:type="dxa"/>
          </w:tcPr>
          <w:p w:rsidR="007460D2" w:rsidRPr="007460D2" w:rsidRDefault="007460D2" w:rsidP="007460D2">
            <w:pPr>
              <w:jc w:val="center"/>
              <w:rPr>
                <w:sz w:val="28"/>
                <w:szCs w:val="28"/>
              </w:rPr>
            </w:pPr>
            <w:r w:rsidRPr="007460D2">
              <w:rPr>
                <w:sz w:val="28"/>
                <w:szCs w:val="28"/>
              </w:rPr>
              <w:t>2</w:t>
            </w:r>
          </w:p>
        </w:tc>
        <w:tc>
          <w:tcPr>
            <w:tcW w:w="8781" w:type="dxa"/>
          </w:tcPr>
          <w:p w:rsidR="007460D2" w:rsidRPr="007460D2" w:rsidRDefault="00EA76FE" w:rsidP="007460D2">
            <w:pPr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Термины и определения</w:t>
            </w:r>
          </w:p>
        </w:tc>
      </w:tr>
      <w:tr w:rsidR="007460D2" w:rsidRPr="007460D2" w:rsidTr="00F64CDF">
        <w:tc>
          <w:tcPr>
            <w:tcW w:w="846" w:type="dxa"/>
          </w:tcPr>
          <w:p w:rsidR="007460D2" w:rsidRPr="007460D2" w:rsidRDefault="007460D2" w:rsidP="007460D2">
            <w:pPr>
              <w:jc w:val="center"/>
              <w:rPr>
                <w:sz w:val="28"/>
                <w:szCs w:val="28"/>
              </w:rPr>
            </w:pPr>
            <w:r w:rsidRPr="007460D2">
              <w:rPr>
                <w:sz w:val="28"/>
                <w:szCs w:val="28"/>
              </w:rPr>
              <w:t>3</w:t>
            </w:r>
          </w:p>
        </w:tc>
        <w:tc>
          <w:tcPr>
            <w:tcW w:w="8781" w:type="dxa"/>
          </w:tcPr>
          <w:p w:rsidR="007460D2" w:rsidRPr="007460D2" w:rsidRDefault="00EA76FE" w:rsidP="007460D2">
            <w:pPr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Форма проведения 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Pr="007460D2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Предмет, задачи и объекты 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Профессиональное суждение и скептицизм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Существенность и аудиторский риск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Подходы к проведению 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Подготовка к аудиту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Предварительное изучение предмета и объектов</w:t>
            </w:r>
            <w:r>
              <w:rPr>
                <w:sz w:val="28"/>
                <w:szCs w:val="28"/>
              </w:rPr>
              <w:t xml:space="preserve"> </w:t>
            </w:r>
            <w:r w:rsidRPr="00EA76FE">
              <w:rPr>
                <w:sz w:val="28"/>
                <w:szCs w:val="28"/>
              </w:rPr>
              <w:t>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Цели и вопросы 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Критерии 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411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Основной этап мероприятия с применением 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2968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Сбор фактических данных и информации, получение</w:t>
            </w:r>
            <w:r>
              <w:rPr>
                <w:sz w:val="28"/>
                <w:szCs w:val="28"/>
              </w:rPr>
              <w:t xml:space="preserve"> </w:t>
            </w:r>
            <w:r w:rsidRPr="00EA76FE">
              <w:rPr>
                <w:sz w:val="28"/>
                <w:szCs w:val="28"/>
              </w:rPr>
              <w:t>аудиторских доказательств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1322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Оценка обнаруженных фактов в соответствии с критериями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1322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Заключительный этап мероприятия с применением аудита эффективности</w:t>
            </w:r>
          </w:p>
        </w:tc>
      </w:tr>
      <w:tr w:rsidR="00EA76FE" w:rsidRPr="007460D2" w:rsidTr="00F64CDF">
        <w:tc>
          <w:tcPr>
            <w:tcW w:w="846" w:type="dxa"/>
          </w:tcPr>
          <w:p w:rsidR="00EA76FE" w:rsidRDefault="00EA76FE" w:rsidP="0074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1" w:type="dxa"/>
          </w:tcPr>
          <w:p w:rsidR="00EA76FE" w:rsidRPr="00EA76FE" w:rsidRDefault="00EA76FE" w:rsidP="00EA76FE">
            <w:pPr>
              <w:tabs>
                <w:tab w:val="left" w:pos="1322"/>
              </w:tabs>
              <w:jc w:val="both"/>
              <w:rPr>
                <w:sz w:val="28"/>
                <w:szCs w:val="28"/>
              </w:rPr>
            </w:pPr>
            <w:r w:rsidRPr="00EA76FE">
              <w:rPr>
                <w:sz w:val="28"/>
                <w:szCs w:val="28"/>
              </w:rPr>
              <w:t>Осуществление контроля реализации результатов мероприятия с применением аудита эффективности</w:t>
            </w:r>
          </w:p>
        </w:tc>
      </w:tr>
    </w:tbl>
    <w:p w:rsidR="007460D2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D2" w:rsidRDefault="00746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24C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муниципального финансового контроля «Общие правила проведения аудита эффективности использования бюджетных средств»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 (далее – БК РФ), 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 6-ФЗ)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контрольно-счетном органе муниципального образования – счетной палате города Нижневартовска, утвержденным решением Думы города Нижневартовска от 22.09.2021 №</w:t>
      </w:r>
      <w:r w:rsidR="0035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823 (далее – Положение о Счетной палате), Регламентом контрольно-счетного органа муниципального образования – счетной палаты города Нижневартовска (далее – Регламент Счетной палаты) и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г. № 47К (993)).</w:t>
      </w:r>
    </w:p>
    <w:p w:rsidR="001A4C83" w:rsidRPr="001A4C83" w:rsidRDefault="000C324C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5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методологического обеспечения реализации полномочий контрольно-счетного органа муниципального образования – счетной палаты города Нижневартовска (далее – Счетная палата), установленных абзацем вторым пункта 2 статьи 157 БК РФ по осуществлению контрольной и экспертно-аналитической деятельности в виде аудита эффективности, направленного на определение экономности и результативности использования бюджетных </w:t>
      </w:r>
      <w:r w:rsid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города Нижневартовска.</w:t>
      </w:r>
    </w:p>
    <w:p w:rsidR="001A4C83" w:rsidRPr="001A4C83" w:rsidRDefault="001A4C83" w:rsidP="000C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</w:t>
      </w:r>
      <w:r w:rsidR="0035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разработаны с учетом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СГА 104. Стандарт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аудита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(контроля). Аудит эффективности», 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Коллегии Счетной палаты РФ от 09.02.2021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2ПК.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</w:t>
      </w:r>
      <w:r w:rsidR="0035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является определение общих требований, которые должны выполняться в Счетной палате при организации и применении аудита эффективности</w:t>
      </w:r>
      <w:r w:rsidR="000C324C" w:rsidRPr="000C324C">
        <w:t xml:space="preserve"> </w:t>
      </w:r>
      <w:r w:rsidR="000C324C" w:rsidRP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аудит эффективности)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Задачей </w:t>
      </w:r>
      <w:r w:rsidR="0035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является определение характеристик, правил и процедур организации и осуществления контрольной и экспертно-аналитической деятельности в виде аудита эффективности.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Настоящий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Счетной палаты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аудита эффективности,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полномочий контрольно-счетных органов муниципальных образований, установленных БК РФ</w:t>
      </w:r>
      <w:r w:rsid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№ 6-ФЗ.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осуществления закупок товаров, работ и услуг для обеспечения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учетом положений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стандарта внешнего 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0C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«Аудит в сфере закупок»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в ходе аудита эффективности информации, содержащей сведения, составляющие государственную и иную охраняемую законом тайну, осуществляется в установленном законодательством Российской Федерации порядке.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определения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Стандарта применяются следующие термины и определения:</w:t>
      </w:r>
    </w:p>
    <w:p w:rsidR="004C0EF2" w:rsidRDefault="004C0EF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и иные ресурсы – средства бюджета города Нижневартовска, муниципальная собственность, иные финансовые и имущественные средства и взаимосвязанные с ними трудовые, временные и другие ресурсы, используемые объектами аудита для достижения непосредственных, конечных результатов и в отношении использования которых Счетная палата проводит аудит эффективности в рамках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EF2" w:rsidRPr="004C0EF2" w:rsidRDefault="004C0EF2" w:rsidP="004C0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результат – конкретные продукты, формируемые вследствие деятельности объектов аудита по использованию муниципальных и иных ресурсов и возможные для использования выгодоприобретателями. К непосредственным результатам относятся продукты всех видов деятельности объектов аудита по использованию материальных и иных ресурсов, в том числе материальные ценности (объекты инфраструктуры, оказанные услуги и т.д.) и нематериальные ценности (продукты правотворческой деятельности, интеллектуальные права и т.д.), иные продукты;</w:t>
      </w:r>
    </w:p>
    <w:p w:rsidR="004C0EF2" w:rsidRDefault="004C0EF2" w:rsidP="004C0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– совокупность значимых изменений, возникающих у выгодоприобретателей после использования непосредственных результатов;</w:t>
      </w:r>
    </w:p>
    <w:p w:rsidR="004C0EF2" w:rsidRDefault="004C0EF2" w:rsidP="004C0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муниципальных и иных ресурсов – действия (бездействие) объектов аудита в отношении муниципальных и иных ресурсов, в том числе по формированию, управлению и распоряжению муниципальными и иными ресурсами;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между достигнутыми результатами (непосредственными и (или) конечными) и использованными для их достижения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отражающее экономность и (или) результативность использования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экономность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объектами аудита определенных непосредственных и (или) конечных результатов с использованием наименьшего объема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объектами аудита наилучших непосредственных и (или) конечных результатов с использованием определенного объема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выгодоприобретатели </w:t>
      </w:r>
      <w:r w:rsidR="00DB5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граждан, организации, публично-правовые образования, потребности которых целенаправленно или непреднамеренно затрагиваются деятельно</w:t>
      </w:r>
      <w:r w:rsid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объектов аудита.</w:t>
      </w:r>
    </w:p>
    <w:p w:rsidR="001A4C83" w:rsidRDefault="00AD0D6D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аудита при проведении аудита эффективности (далее – объекты аудита</w:t>
      </w:r>
      <w:r w:rsid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аудита эффективности</w:t>
      </w:r>
      <w:r w:rsidRP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пунктом 1 статьи 266.1 БК РФ.</w:t>
      </w:r>
    </w:p>
    <w:p w:rsidR="00AD0D6D" w:rsidRPr="001A4C83" w:rsidRDefault="00AD0D6D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83" w:rsidRPr="001A4C83" w:rsidRDefault="00044C3F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Форма проведения аудита эффективности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0D6D" w:rsidRDefault="00044C3F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Аудит эффективности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в форме </w:t>
      </w:r>
      <w:r w:rsid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</w:t>
      </w:r>
      <w:r w:rsid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отдельных целей </w:t>
      </w:r>
      <w:r w:rsidR="00F93B21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экспертно-аналитических мероприятий 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определение, анализ, оценку, проверку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эффективности (результативности, экономности) деятельности объектов аудита, связанн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и иных 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</w:p>
    <w:p w:rsidR="001A4C83" w:rsidRPr="001A4C83" w:rsidRDefault="00044C3F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аудита эффективности могут применяться такие методы контрольной и экспертно-аналитической деятельности как ревизия, проверка, анализ, обследование и мониторинг.</w:t>
      </w:r>
    </w:p>
    <w:p w:rsidR="001A4C83" w:rsidRPr="001A4C83" w:rsidRDefault="00044C3F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проведение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результатов контрольных и экспертно-аналитических мероприятий с применением аудита эффективности осуществляются в порядке, установленном стандартами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«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особенностей,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83" w:rsidRPr="001A4C83" w:rsidRDefault="00F93B21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Предмет, задачи и объекты аудита эффективности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83" w:rsidRPr="001A4C83" w:rsidRDefault="00F93B21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Предметом аудита эффективности являются: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(проблемы) исполнения бюджета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вопросы в сфере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связанные с деятельностью объектов аудита по использованию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для достижения непосредственных и (или) конечных результатов;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объектов аудита по использованию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(далее также </w:t>
      </w:r>
      <w:r w:rsidR="0004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ресурсы) для достижения непосредственных и (или) конечных результатов.</w:t>
      </w:r>
    </w:p>
    <w:p w:rsidR="001A4C83" w:rsidRDefault="00F93B21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 аудита эффективности, планируемого к осуществлению в форме отдельного мероприятия,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при подготовке предложения о включении соответствующего мероприятия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на очередной год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21" w:rsidRPr="001A4C83" w:rsidRDefault="00F93B21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аудита эффективности в виде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в рамках проводимых контрольных и экспертно-аналитических мероприятий, предмет аудита эффективности определяется при составлении программы мероприятия. </w:t>
      </w:r>
    </w:p>
    <w:p w:rsidR="001A4C83" w:rsidRPr="001A4C83" w:rsidRDefault="00F93B21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71F5B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аудита эффективности в пределах полномочий Счетной палаты исследуются:</w:t>
      </w:r>
    </w:p>
    <w:p w:rsidR="001A4C83" w:rsidRPr="001A4C83" w:rsidRDefault="00F93B21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ресурсы;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 и (или) конечные результаты;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процессы использования </w:t>
      </w:r>
      <w:r w:rsidR="00F9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для достижения непосредственных и (или) конечных результатов;</w:t>
      </w:r>
    </w:p>
    <w:p w:rsidR="001A4C83" w:rsidRPr="001A4C83" w:rsidRDefault="00F93B21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031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аудита эффективности являются: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оценки эффективности использования </w:t>
      </w:r>
      <w:r w:rsidR="00F9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выводов об эффективности использования </w:t>
      </w:r>
      <w:r w:rsidR="00F9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 неэффективного использования </w:t>
      </w:r>
      <w:r w:rsidR="00F9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ресурсов, возможностей для повышения эффективности использования </w:t>
      </w:r>
      <w:r w:rsidR="00F9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в адрес объектов аудита и иных заинтересованных органов и организаций требований, предложений (рекомендаций) по повышению эффективности использования </w:t>
      </w:r>
      <w:r w:rsidR="00003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ресурсов, совершенствованию организации и процессов</w:t>
      </w:r>
      <w:r w:rsidR="0000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использования;</w:t>
      </w:r>
    </w:p>
    <w:p w:rsidR="001A4C83" w:rsidRPr="001A4C83" w:rsidRDefault="000E0575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C83" w:rsidRP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 целях проведения успешного и качественного аудита эффективности могут привлекаться внешние эксперты. Необходимость в привлечении внешних экспертов должна быть установлена при планировании мероприятия с применением аудита эффективности или 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74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A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</w:t>
      </w:r>
      <w:r w:rsidR="001A4C83" w:rsidRP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0E0575" w:rsidRDefault="000E0575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C83" w:rsidRPr="001A4C83" w:rsidRDefault="000E0575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Профессиональное суждение и скептицизм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скептицизма. Профессиональный скептицизм включает в себя критическую оценку полученных в ходе аудита эффективности доказательств (далее </w:t>
      </w:r>
      <w:r w:rsid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аудиторские доказательства), в том числе оценку доказательств или информации, ставящих под сомнение иные аудиторские доказательства.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действий, обеспечивающих получение достаточных и надлежащих аудиторских доказательств (аудиторские процедуры), и их результатов для обоснования применения профессионального суждения в важных или потенциально субъективных (сложных) вопросах аудита эффективности должно проводиться в рамках формирования рабочей документации.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Профессиональное суждение в контексте аудита эффективности требуется для выявления и оценки угроз сохранения независимой позиции Счетной палаты, выбора предмета (отдельных аспектов предмета) аудита эффективности, определения необходимого уровня понимания предмета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аудита эффективности и связанных с ним обстоятельств, определения цели (целей), вопросов, оценки рисков; определения характера, сроков и объема аудиторских процедур; определения порядка консультаций, необходимых для аудита эффективности, и того, как будет учитываться полученная информация; оценки того, были ли получены достаточные и надлежащие аудиторские доказательства, нужны ли дополнительные аудиторские процедуры, чтобы ответить на вопросы и сформулировать выводы по цели (целям) аудита эффективности; формулирования выводов на основе полученных аудиторских доказательств в соответствии с критериями аудита эффективности, целями и вопросами аудита эффективности; определения того, какие выводы являются достаточно значимыми для включения в итоговые документы по результатам мероприятия; определения содержания предложений (рекомендаций).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B07AB8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E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Существенность и аудиторский риск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Существенность для целей аудита эффективности </w:t>
      </w:r>
      <w:r w:rsidR="00B07A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уровень важности и значительности предмета аудита эффективности и его отдельных аспектов, формулируемых целей и вопросов аудита эффективности, критериев аудита эффективности, результатов, выводов, предложений (рекомендаций).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Результаты аудита эффективности, выводы по результатам аудита эффективности считаются существенными,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Существенность предложений (рекомендаций) определяет востребованность, а также вероятность их практического применения объектом (объектами) аудита эффективности и </w:t>
      </w:r>
      <w:proofErr w:type="gramStart"/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заинтересованными органами</w:t>
      </w:r>
      <w:proofErr w:type="gramEnd"/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 в работе, в том числе предполагающего изменение конкретных управленческих решений или процедур их принятия.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внимание к существенности является одним из приоритетов аудита эффективности на всех его этапах. Применение существенности позволяет делать взвешенные выводы, подготавливать востребованные и реализуемые предложения (рекомендации) с учетом особенностей предмета аудита эффективности и его отдельных аспектов, формулируемых целей и вопросов аудита эффективности, критериев аудита эффективности, оценки документации, аудиторских доказательств, управления рисками, связанными с получением незначимых результатов.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Под аудиторским риском при проведении аудита эффективности понимается вероятность того, что сформулированные в </w:t>
      </w:r>
      <w:r w:rsid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итоговом документе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предложения (рекомендации) могут оказаться ненадлежащими (неверными или неполными), не представляющими ценности для заинтересованных лиц, то есть не содержащими информацию, которая бы способствовала повышению эффективности использования </w:t>
      </w:r>
      <w:r w:rsidR="000E05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Аудиторский риск при проведении мероприятия с применением аудита эффективности включает риск того, что существенные нарушения и недостатки, проблемы не будут обнаружены, будут сделаны неверные выводы об эффективности использования </w:t>
      </w:r>
      <w:r w:rsidR="00B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 иные неверные выводы.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>.7.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аудиторский риск оказывают влияние сроки проведения мероприятия, доступность данных и информации, объем работ различного типа, особенности организации деятельности объекта (объектов) аудита эффективности.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Аудиторский риск может быть уменьшен с помощью таких действий, как, например, увеличение объема аудиторских процедур, в том числе за счет привлечения внешних экспертов, изменения методов получения аудиторских доказательств.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B07AB8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6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Подходы к проведению аудита эффективности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аудита эффективности могут использоваться следующие подходы: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результат-ориентированный подход, в рамках которого оцениваются фактические результаты деятельности объекта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(объектов)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эффективности с точки зрения эффективности использования соответствующих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Результат-ориентированный подход используется при проведении контрольных мероприятий;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системно-ориентированный подход,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при функционировании таких систем.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Системно-ориентированный подход может использоваться при проведении как контрольных, так и экспертно-аналитических мероприятий;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</w:t>
      </w:r>
      <w:r w:rsidRP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-ориентированный подход, в рамках которого анализируется наличие проблем (предполагаемых отклонений от критериев аудита эффективности), связанных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эффективностью использования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ресурсов, устанавливаются соответствующие причины их возникновения, формулируются предложения (рекомендации), направленные на устранение причин возникновения данных проблем.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аудита эффективности проблемно-ориентированный подход используется как дополнение к результат-ориентированному и системно-ориентированному подходам.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4F39A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</w:t>
      </w:r>
      <w:r w:rsidR="007D4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к а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удит</w:t>
      </w:r>
      <w:r w:rsidR="007D4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4F39A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Предварительное изучение предмета и объектов</w:t>
      </w:r>
      <w:r w:rsidR="00EA7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аудита эффективности</w:t>
      </w:r>
    </w:p>
    <w:p w:rsidR="001A4C83" w:rsidRPr="001A4C83" w:rsidRDefault="001A4C83" w:rsidP="0087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Предварительное </w:t>
      </w:r>
      <w:r w:rsidR="008747FF" w:rsidRP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и объектов</w:t>
      </w:r>
      <w:r w:rsid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FF" w:rsidRP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</w:t>
      </w:r>
      <w:r w:rsidR="0087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непосредственным проведением аудита эффективности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определить наиболее ценную информацию и имеющиеся данные о предмете аудита эффективности и его отдельных аспектах, подобрать необходимые методы для анализа, тем самым оптимизировать границы и объем аудиторских процедур</w:t>
      </w:r>
      <w:r w:rsidR="009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снизить аудиторские риски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предварительного исследования определяются цели, вопросы, методы, имеющиеся ограничения.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4F39A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Цели и вопросы аудита эффективности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аудите эффективности формулируется цель (цели), которую (которые) планируется достигнуть по результатам его проведения.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аудита эффективн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должна начинаться словами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эффективность...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экономность...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результативность...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>.2.2.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контрольного или экспертно-аналитического мероприятия наряду с аудитом эффективности предполагается применение иных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9450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экспертно-аналитическ</w:t>
      </w:r>
      <w:r w:rsidR="009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процедур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аудита эффективности формулируется отдельная самостоятельная цель (отдельные самостоятельные цели) в программе проведения контрольного или экспертно-аналитического мероприятия.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>.2.3.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аудита эффективности формулируется одна цель, направленная на общую оценку (проверку и т.п.) эффективности предмета аудита эффективности, либо несколько целей в разрезе: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отдельных объектов аудита эффективности;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аспектов предмета аудита эффективности (оценка эффективности реализации отдельных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программных мероприятий,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использования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в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сферах, в 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учреждениях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отдельной организационно-правовой формы</w:t>
      </w:r>
      <w:r w:rsidR="004F3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использования отдельного ресурса и т.п.).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аудита эффективности определяются по каждой цели.</w:t>
      </w:r>
    </w:p>
    <w:p w:rsidR="0007523B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>.2.5.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содержание вопросов должны быть направлены на обоснование вывода об эффективности использования ресурсов. Вопросы содержат корреспондирующие критериям ауди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эффективности формулировки («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достижение планируемых результатов...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использова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запланированных ресурсов...», «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возможность достижения лучших результатов за счет использованных ресурсов...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возможность экономии ресурсов для достижения полученных результатов...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149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Критерии аудита эффективности</w:t>
      </w:r>
    </w:p>
    <w:p w:rsidR="001F60D6" w:rsidRPr="001A4C83" w:rsidRDefault="001F60D6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Критерии аудита эффективности (далее </w:t>
      </w:r>
      <w:r w:rsidR="0094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критерии) представляют собой </w:t>
      </w:r>
      <w:r w:rsidR="009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сложившееся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в отношении использования 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 достижения непосредственных и (или) конечных результатов.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Непосредственные и (или) конечные результаты выражаются в конкретных показателях (индикаторах) и их плановых и фактических значениях.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показателей (индикаторов) могут выступать: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(индикаторы), определенные в документах стратегического планирования и иных документах аналогичного характера, не отнесенных в соответствии с законодательством Российской Федерации к документам стратегического планирования;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из официальной статистической информации;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(индикаторы), характеризующие результаты оказания 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рамках 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(индикаторы), характеризующие результаты, определенные отдельными договорами (соглашениями);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(индикаторы), рассчитанные по 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методикам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показатели (индикаторы), характеризующие результаты мер и мероприятий по использованию </w:t>
      </w:r>
      <w:r w:rsidR="00075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8.3.4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(индикаторы) могут быть представлены абсолютными, относительными и средними величинами.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величины представляют собой количественную характеристику явлений и процессов (признаков) в условиях качественной определенности. Абсолютные величины всегда являются именованными числами в зависимости от сущности описываемых ими процессов и явлений, т.е. всегда имеют единицу измерения.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 является итогом сравнения двух абсолютных величин. Например, к показателю (индикатору), представленному относительной величиной, может быть отнесен темп роста абсолютной величины как по отношению к предыдущему периоду, так и по отношению к периоду до начала периода, подлежащего аудиту эффективности (относительные величины динамики).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величина </w:t>
      </w:r>
      <w:r w:rsidR="003F6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обобщающая величина, отражающая типичный уровень признака в расчете на единицу совокупности в конкретных условиях места и времени.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сферы деятельности объекта (объектов) аудита эффективности в качестве показателей могут выступать признаки, не имеющие количественной величины.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8.3.5.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характеристики (качество товаров, работ, услуг и т.п.) являются неотъемлемой частью результата (например, значение количества поставленных товаров, оказанных работ, услуг зависит от определенных качественных характеристик).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Показателями (индикаторами) непосредственных и (или) конечных результатов не могут выступать количество, объем выявленных Счетной палатой у объекта (объектов) аудита эффективности нарушений и недостатков (производные от количества, объема таких нарушений и недостатков относительные и средние величины), соответствие деятельности нормативным правовым актам, требованиям иных документов и т.п., поскольку такие показатели (индикаторы) непосредственно не характеризуют результаты использования </w:t>
      </w:r>
      <w:r w:rsidR="003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8.3.7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показателей (индикаторов) определяются их плановые и фактические значения, в том числе в соответствии с плановыми и фактическими значениями показателей (индикаторов), определенными в документах стратегического планирования и иных документах, в отчетности по указанным документам.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8.3.8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ресурсы, подлежащие аудиту эффективности, определяются посредством установления конкретных видов используемых ресурсов и плановых, фактических объемов их использования.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Плановые (фактические) объемы используемых ресурсов </w:t>
      </w:r>
      <w:r w:rsidR="003F6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ресурсов, которые запланированы (использованы) под плановые (фактические) значения показателей (индикаторов), характеризующих непосредственные и (или) конечные результаты.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объемы используемых ресурсов определяются в соответствии со значениями объемов используемых ресурсов, определенными в соответствующих документах (</w:t>
      </w:r>
      <w:r w:rsid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системах): показатели сводной бюджетной росписи</w:t>
      </w:r>
      <w:r w:rsidR="003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обоснования бюджетных ассигнований, распоряжения </w:t>
      </w:r>
      <w:r w:rsidR="003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выделении бюджетных ассигнований из резервного фонда, соглашения о предоставлении межбюджетных трансфертов, реестр </w:t>
      </w:r>
      <w:r w:rsidR="003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документы. Плановые объемы используемых ресурсов определяются в каждом случае отдельно и могут как учитывать, так и не учитывать последующее дополнительное выделение ресурсов.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объемы использованных ресурсов определяются на основании данных отчетност</w:t>
      </w:r>
      <w:r w:rsidR="0088576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информации из государственных и муниципальных информационных систем и из официальных сведений, предоставляемых объектами аудита на запросы Счетной палаты.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8.3.10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 данных, полученных в ходе мероприятия с применением аудита </w:t>
      </w:r>
      <w:r w:rsidR="001A4C83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посредством сбора достаточных и надлежащих аудиторских доказательств (в рамках проведения аудиторских процедур), </w:t>
      </w:r>
      <w:r w:rsidR="003D52AD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="001A4C83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="007D432A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</w:t>
      </w:r>
      <w:r w:rsidR="00EA76FE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9.2.2 настоящего Стандарта</w:t>
      </w:r>
      <w:r w:rsid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C83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позволяет сделать выводы об эффективности использования ресурсов.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Основной этап мероприятия с применением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аудита эффективности</w:t>
      </w:r>
    </w:p>
    <w:p w:rsidR="00EA76FE" w:rsidRDefault="001A4C83" w:rsidP="00EA7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7460D2" w:rsidP="00EA7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Сбор фактических данных и информации, получение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аудиторских доказательств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процессе сбора фактически</w:t>
      </w:r>
      <w:r w:rsid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и информации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информация и изучаются документы и материалы в целях формирования аудиторских доказательств.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Для достижения цели аудита эффективности, а также для подтверждения выводов и предложений (рекомендаций) </w:t>
      </w:r>
      <w:r w:rsid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Счетной палаты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 достаточные и надлежащие аудиторские доказательства.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Определение на основе профессионального суждения </w:t>
      </w:r>
      <w:r w:rsidR="00F5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Счетной палаты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достаточности аудиторских доказательств означает необходимость установить, достаточное ли количество (полнота) аудиторских доказательств собрано для достижения цели аудита эффективности и обоснования результатов и выводов, предложений (рекомендаций). Аудиторские доказательства не являются достаточными, если использование собранных аудиторских доказательств несет неприемлемо высокий риск, который может привести к неверным выводам, либо аудиторское доказательство не предоставляет разумной основы для достижения цели аудита эффективности, формирования результатов и выводов, предложений (рекомендаций).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18D5">
        <w:rPr>
          <w:rFonts w:ascii="Times New Roman" w:eastAsia="Times New Roman" w:hAnsi="Times New Roman" w:cs="Times New Roman"/>
          <w:sz w:val="28"/>
          <w:szCs w:val="28"/>
          <w:lang w:eastAsia="ru-RU"/>
        </w:rPr>
        <w:t>.1.4.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 основе профессионального суждения </w:t>
      </w:r>
      <w:r w:rsidR="00F51BF6" w:rsidRPr="00F5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Счетной палаты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аудиторские доказательства являются надлежащими, включает оценку уместности, надежности и валидности аудиторских доказательств: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уместность означает, что аудиторские доказательства имеют логическую связь с целью аудита эффективности и соответствующими вопросами и значимы для достижения цели аудита эффективности;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надежность означает </w:t>
      </w:r>
      <w:r w:rsidR="003D5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 w:rsidR="003D52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аудиторские доказательства подтверждаются данными из различных источников или позволяют получать одни и те же результаты при повторном получении;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обоснованность и пригодность применения методик и результатов исследования к конкретным условиям аудита эффективности.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EA7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обнаруженных фактов</w:t>
      </w:r>
      <w:r w:rsidR="00EA7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критериями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18D5">
        <w:rPr>
          <w:rFonts w:ascii="Times New Roman" w:eastAsia="Times New Roman" w:hAnsi="Times New Roman" w:cs="Times New Roman"/>
          <w:sz w:val="28"/>
          <w:szCs w:val="28"/>
          <w:lang w:eastAsia="ru-RU"/>
        </w:rPr>
        <w:t>.2.1. 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с применением аудита эффективности обнаруженные факты </w:t>
      </w:r>
      <w:r w:rsid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в соответствии с к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ритериями, а наблюдаемые различия представляют собой подтвержденные аудиторскими доказательствами результаты мероприятия.</w:t>
      </w:r>
    </w:p>
    <w:p w:rsidR="007D432A" w:rsidRPr="007D432A" w:rsidRDefault="007460D2" w:rsidP="007D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32A"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32A"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8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D432A"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непосредственных и (или) конечных результатов, муниципальных и иных ресурсов производится их оценка с учетом следующих критериев:</w:t>
      </w:r>
    </w:p>
    <w:p w:rsidR="007D432A" w:rsidRPr="007D432A" w:rsidRDefault="007D432A" w:rsidP="007D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запланированные результаты достигнуты (не достигнуты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значения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отклонения);</w:t>
      </w:r>
    </w:p>
    <w:p w:rsidR="007D432A" w:rsidRPr="007D432A" w:rsidRDefault="007D432A" w:rsidP="007D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не превышает первоначально запланированный объем (превышает, с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значения </w:t>
      </w: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отклонения);</w:t>
      </w:r>
    </w:p>
    <w:p w:rsidR="007D432A" w:rsidRPr="007D432A" w:rsidRDefault="007D432A" w:rsidP="007D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результативности – возможность добиться лучших результатов (по количеству и (или) качеству; принципиально иных результатов, в том числе для полноценного использования выгодоприобретателями) за счет использованных ресурсов или аналогичных ресурсов отсутствует (имеется);</w:t>
      </w:r>
    </w:p>
    <w:p w:rsidR="007D432A" w:rsidRPr="007D432A" w:rsidRDefault="007D432A" w:rsidP="007D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экономности – возможность использования меньшего ресурса для достижения полученного результата отсутствует (имеется);</w:t>
      </w:r>
    </w:p>
    <w:p w:rsidR="007D432A" w:rsidRPr="007D432A" w:rsidRDefault="007D432A" w:rsidP="007D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дополнительных ресурсов для достижения запланированных или лучших, чем запланировано, результатов (по количеству и (или) качеству; принципиально иных результатов, в том числе для полноценного использования выгодоприобретателями) отсутствует (имеется).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критериям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осуществляется на основе: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результатов;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использования 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альтернативных ресурсов и методов использования ресурсов;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выбранных ресурсов и методов их использования;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необходимости дополнительных ресурсов для достижения поставленных или лучших результатов.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достижения результатов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оценка на предмет достижения запланированных результатов. Оценивается исключительно достижение (</w:t>
      </w:r>
      <w:proofErr w:type="spellStart"/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запланированных результатов, проводится сравнение фактических и плановых значений показателей (индикаторов). Возможность достижения лучших результатов за счет использованных ресурсов или аналогичных ресурсов (возможность использования меньшего объема ресурсов для достижения полученного результата) при оценке достижения результатов не исследуется.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9.2.5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использования ресурсов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сравнение первоначально запланированных объемов ресурсов с фактическими объемами использованных ресурсов. При этом обоснованность плановых и фактических объемов ресурсов не оценивается.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3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9.2.6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альтернативных ресурсов и методов использования ресурсов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возможности ее проведения с учетом специфики сферы деятельности объекта аудита эффективности; дается оценка на предмет возможности сокращения объема используемых ресурсов за счет альтернативных вариантов с точки зрения оптимальности выбора, распределения и использования тех или иных ресурсов, методов использования ресурсов без ущерба для достижения результатов.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не уже выбранные ресурсы и методы (способы) их использования (например, финансовые ресурсы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закупку товаров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 для обеспечения 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нужд), а альтернативные варианты: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иного ресурса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 ли выбран ресурс? Оценивается возможность использования иного ресурса (например, замена (в том числе частичная) финансовых ресурсов на трудовые и (или) материальные ресурсы и т.п.);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и использования ресурсов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 ли распределены и использованы ресурсы для достижения результатов, имеются ли ресурсы, в той или иной степени не используемые? Оценивается оптимальность соотношения финансовых, трудовых, материальных, временных и других ресурсов между собой и их использования;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иного метода (иных методов) использования ресурса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оптимизировать процессы для сокращения издержек? Оценивается возможность применения иных методов (способов) использования ресурсов, а также возможность оптимизации процессов внутри метода использования ресурсов (например, замена закупки услуг для обеспечения муниципальных нужд субсидией на иные цели муниципальному учреждению, которое оказывает такие услуги собственными силами; ресурс не меняется, но меняется метод (процесс), сокращается время получения результата (временной ресурс).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распределение ресурсов, выбор иного метода (иных методов) использования ресурсов рассматриваются одновременно и во взаимосвязи друг с другом. В указанном контексте рассматривается оптимальность соотношения ресурсов (например, трудовых, финансовых, материальных ресурсов), их взаимосвязь (преобразование одних ресурсов в другие), доступность, качество и своевременность получения ресурсов для достижения результатов.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ресурсами, в том числе в связи с получением лучших результатов (по количеству и (или) качеству) при отсутствии такой необходимости (например, приобретение товаров с избыточными потребительскими свойствами).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9.2.7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оценки выбранных ресурсов и методов их использования в отличие от оценки, изложенной в </w:t>
      </w:r>
      <w:hyperlink r:id="rId7" w:anchor="p231" w:history="1">
        <w:r w:rsidR="001A4C83"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EA76FE"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1A4C83"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.2.</w:t>
        </w:r>
      </w:hyperlink>
      <w:r w:rsidR="00EA76FE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Стандарта, внимание уделяется уже выбранным ресурсам и методам. Оценивается возможность сокращения объема выбранных ресурсов, например, за счет соблюдения необходимых процедур (при наличии фактов их несоблюдения), корректного формирования нормативов затрат, наличие альтернатив в части выбранного ресурса и т.п.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3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9.2.8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оценке необходимости дополнительных ресурсов для достижения поставленных или лучших результатов рассматриваются достаточность (наличие) ресурсов и необходимость дополнительных ресурсов (например, материальных, финансовых, временных ресурсов к уже использованным ресурсам) для достижения поставленных или лучших, чем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поставленные, результатов (по количеству и (или) качеству; принципиально иных результатов, в том числе для полноценного использования выгодоприобретателями).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оценок в </w:t>
      </w:r>
      <w:r w:rsidR="001A4C83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8" w:anchor="p231" w:history="1">
        <w:r w:rsidR="001A4C83"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EA76FE"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1A4C83"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.2.</w:t>
        </w:r>
      </w:hyperlink>
      <w:r w:rsidR="00EA76FE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C83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FE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C83" w:rsidRP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p238" w:history="1">
        <w:r w:rsidR="00EA76FE" w:rsidRPr="00EA7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9.2.8</w:t>
        </w:r>
      </w:hyperlink>
      <w:r w:rsidR="00EA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оцениваются возможность достижения лучших результатов за счет использованных ресурсов или аналогичных ресурсов (возможность использования меньшего ресурса для достижения полученного результата), обоснованность плановых ресурсов и результатов.</w:t>
      </w:r>
    </w:p>
    <w:p w:rsidR="00E92796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указанных оценок, в частности, оценки альтернативных ресурсов и методов использования ресурсов, необходимо проводить сравнение схожей деятельности в сопоставимых организациях, сравнение одного процесса с этим же процессом на более ранней стадии, сравнение процесса до и после принятия того или иного решения. 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.2.10. По результатам основного этапа контрольного или экспертно-аналитического мероприятия с применением аудита эффективности оформляется соответственно акт или заключение.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Заключительный этап мероприятия с применением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аудита эффективности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заключительном этапе мероприятия с применением аудита эффективности по каждой цели формулируется вывод об эффективности использования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 иные выводы по результатам аудита эффективности, определяются причины неэффективного использования ресурсов (при наличии соответствующего вывода), подготавливаются соответствующие требования, предложения (рекомендации) и проекты документов.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1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если в ходе мероприятия выявлены нарушения и (или) недостатки, а сделанные выводы указывают на возможность существенно улучшить результаты работы объекта (объектов) аудита эффективности, необходимо подготовить требования, предложения (рекомендации) для принятия мер по устранению этих нарушений и недостатков, которые отражаются в соответствующ</w:t>
      </w:r>
      <w:r w:rsidR="003D52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актах, заключениях</w:t>
      </w:r>
      <w:r w:rsidR="00955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составляемых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применением аудита эффективности, проектах подготавливаемых представлений Счетной палаты и информационных писем.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также формируются в отношении возможности выбора альтернативных ресурсов и методов использования ресурсов, проблем в отрасли, пробелов в законодательном регулировании и иных проблем, не связанных с нарушениями и недостатками, но приводящих к неэффективному использованию ресурсов.</w:t>
      </w:r>
    </w:p>
    <w:p w:rsidR="001A4C83" w:rsidRPr="001A4C83" w:rsidRDefault="007460D2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Количество предложений (рекомендаций) определяется содержанием и масштабом аудита эффективности. Необходимо отражать только наиболее важные предложения (рекомендации), подготовленные на основе выводов по результатам аудита эффективности.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1A4C83" w:rsidRPr="001A4C83" w:rsidRDefault="00CF108D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Осуществление контроля реализации результатов</w:t>
      </w:r>
      <w:r w:rsidR="00EA7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C83" w:rsidRPr="001A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с применением аудита эффективности</w:t>
      </w:r>
    </w:p>
    <w:p w:rsidR="001A4C83" w:rsidRPr="001A4C83" w:rsidRDefault="001A4C83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83" w:rsidRPr="001A4C83" w:rsidRDefault="00CF108D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Контроль реализации результатов мероприятия с применением аудита эффективности осуществляется с учетом положений </w:t>
      </w:r>
      <w:r w:rsidR="000D4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Счетной палаты и стандарта внешнего муниципального финансового контроля «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результатов контрольных и экспертно-аналитических мероприятий</w:t>
      </w:r>
      <w:r w:rsidR="000D4F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83" w:rsidRPr="001A4C83" w:rsidRDefault="00CF108D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контролем реализации результатов мероприятия с применением аудита эффективности понимается совокупность действий, осуществляемых </w:t>
      </w:r>
      <w:r w:rsidR="000D4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должностными лицами Счетной палаты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оценки итогов выполнения объектом (объектами) аудита эффективности представлений Счетной палаты, а также итогов рассмотрения </w:t>
      </w:r>
      <w:r w:rsidR="000D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Счетной палаты и 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писем.</w:t>
      </w:r>
    </w:p>
    <w:p w:rsidR="001A4C83" w:rsidRPr="001A4C83" w:rsidRDefault="00CF108D" w:rsidP="001A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рамках контроля реализации результатов мероприятия с применением аудита эффективности важно оценить, устранил ли объект аудита </w:t>
      </w:r>
      <w:proofErr w:type="gramStart"/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в организации, процессах и результатах использования </w:t>
      </w:r>
      <w:r w:rsidR="000D4F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A4C83" w:rsidRP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ресурсов или в его деятельности по использованию указанных ресурсов нарушения, недостатки по истечении установленного для этого периода времени.</w:t>
      </w:r>
    </w:p>
    <w:sectPr w:rsidR="001A4C83" w:rsidRPr="001A4C83" w:rsidSect="007460D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D2" w:rsidRDefault="007460D2" w:rsidP="007460D2">
      <w:pPr>
        <w:spacing w:after="0" w:line="240" w:lineRule="auto"/>
      </w:pPr>
      <w:r>
        <w:separator/>
      </w:r>
    </w:p>
  </w:endnote>
  <w:endnote w:type="continuationSeparator" w:id="0">
    <w:p w:rsidR="007460D2" w:rsidRDefault="007460D2" w:rsidP="0074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D2" w:rsidRDefault="007460D2" w:rsidP="007460D2">
      <w:pPr>
        <w:spacing w:after="0" w:line="240" w:lineRule="auto"/>
      </w:pPr>
      <w:r>
        <w:separator/>
      </w:r>
    </w:p>
  </w:footnote>
  <w:footnote w:type="continuationSeparator" w:id="0">
    <w:p w:rsidR="007460D2" w:rsidRDefault="007460D2" w:rsidP="0074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277862"/>
      <w:docPartObj>
        <w:docPartGallery w:val="Page Numbers (Top of Page)"/>
        <w:docPartUnique/>
      </w:docPartObj>
    </w:sdtPr>
    <w:sdtEndPr/>
    <w:sdtContent>
      <w:p w:rsidR="007460D2" w:rsidRDefault="007460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72">
          <w:rPr>
            <w:noProof/>
          </w:rPr>
          <w:t>2</w:t>
        </w:r>
        <w:r>
          <w:fldChar w:fldCharType="end"/>
        </w:r>
      </w:p>
    </w:sdtContent>
  </w:sdt>
  <w:p w:rsidR="007460D2" w:rsidRDefault="00746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83"/>
    <w:rsid w:val="000031B2"/>
    <w:rsid w:val="00044C3F"/>
    <w:rsid w:val="0007523B"/>
    <w:rsid w:val="000C324C"/>
    <w:rsid w:val="000D4F56"/>
    <w:rsid w:val="000E0575"/>
    <w:rsid w:val="001A4C83"/>
    <w:rsid w:val="001F60D6"/>
    <w:rsid w:val="00357C87"/>
    <w:rsid w:val="003D52AD"/>
    <w:rsid w:val="003F67B5"/>
    <w:rsid w:val="004C0EF2"/>
    <w:rsid w:val="004F39A3"/>
    <w:rsid w:val="00550EAC"/>
    <w:rsid w:val="00606772"/>
    <w:rsid w:val="00651E73"/>
    <w:rsid w:val="007460D2"/>
    <w:rsid w:val="007D432A"/>
    <w:rsid w:val="008747FF"/>
    <w:rsid w:val="00885767"/>
    <w:rsid w:val="0094504C"/>
    <w:rsid w:val="009553E4"/>
    <w:rsid w:val="00971F5B"/>
    <w:rsid w:val="00AD0D6D"/>
    <w:rsid w:val="00B07AB8"/>
    <w:rsid w:val="00CF108D"/>
    <w:rsid w:val="00DB57FB"/>
    <w:rsid w:val="00DE18D5"/>
    <w:rsid w:val="00E92796"/>
    <w:rsid w:val="00EA76FE"/>
    <w:rsid w:val="00EA7E16"/>
    <w:rsid w:val="00EC286D"/>
    <w:rsid w:val="00F338BF"/>
    <w:rsid w:val="00F51BF6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61E8"/>
  <w15:chartTrackingRefBased/>
  <w15:docId w15:val="{13E5AD1B-6F00-4ED1-8255-863C1C0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0D2"/>
  </w:style>
  <w:style w:type="paragraph" w:styleId="a6">
    <w:name w:val="footer"/>
    <w:basedOn w:val="a"/>
    <w:link w:val="a7"/>
    <w:uiPriority w:val="99"/>
    <w:unhideWhenUsed/>
    <w:rsid w:val="0074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21_00_20_553877/document_notes_inner.htm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vmf2.consultant.ru/static4021_00_20_553877/document_notes_inner.htm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vmf2.consultant.ru/static4021_00_20_553877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Сетяева Оксана Владимировна</cp:lastModifiedBy>
  <cp:revision>8</cp:revision>
  <dcterms:created xsi:type="dcterms:W3CDTF">2021-12-21T09:34:00Z</dcterms:created>
  <dcterms:modified xsi:type="dcterms:W3CDTF">2021-12-24T11:57:00Z</dcterms:modified>
</cp:coreProperties>
</file>