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</w:rPr>
      </w:r>
      <w:r/>
    </w:p>
    <w:p>
      <w:pPr>
        <w:pStyle w:val="658"/>
        <w:jc w:val="center"/>
        <w:rPr>
          <w:rFonts w:ascii="Times New Roman" w:hAnsi="Times New Roman" w:eastAsia="Arial" w:cs="Times New Roman"/>
          <w:b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некоторые постановления </w:t>
      </w:r>
      <w:r>
        <w:rPr>
          <w:rFonts w:ascii="Times New Roman" w:hAnsi="Times New Roman" w:cs="Times New Roman"/>
          <w:b/>
          <w:bCs/>
          <w:color w:val="000000"/>
        </w:rPr>
      </w:r>
      <w:r/>
    </w:p>
    <w:p>
      <w:pPr>
        <w:pStyle w:val="65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администрации 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а»</w:t>
      </w:r>
      <w:r>
        <w:rPr>
          <w:rFonts w:ascii="Times New Roman" w:hAnsi="Times New Roman" w:cs="Times New Roman"/>
          <w:b/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вносятся в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8"/>
          <w:szCs w:val="28"/>
        </w:rPr>
        <w:t xml:space="preserve">целях приведения муниципальных правовых актов в соответствие с действующим законодательством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/>
    </w:p>
    <w:p>
      <w:pPr>
        <w:pStyle w:val="658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Проектом предлагается внести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pStyle w:val="658"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уточнить перечень муниципальных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предприятий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 на которых распространяют свое действие обозначенные выше муниципальные нормативно-правовые акты;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pStyle w:val="658"/>
        <w:numPr>
          <w:ilvl w:val="0"/>
          <w:numId w:val="2"/>
        </w:numPr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привести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от 12.08.2016 №1188 «Об утверждении типовых актов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в муниципальных учреждениях и муниципальных унитарных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предприятиях города Нижневартовска, хозяйственных обществах,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единственным учредителем (участником) которых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администрация города»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(с изменениями от 14.10.2016 №1500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соответствие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постановления Правительства Ханты-Мансийского автономного округа – Югры от 27.06.2014 №229-п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«Об утверждении основных направлений антикоррупционной деятельности в государственных учреждениях и государственных унитарных предприятиях Ханты-Мансийского автономного округа - Югры, а также хозяйственных обществах, товариществах, фондах, автономных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мерческих организациях, единственным учредителем (участником) которых является Ханты-Мансийский автономный округ - Югра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820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426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paragraph" w:styleId="821" w:customStyle="1">
    <w:name w:val="ConsPlusNormal"/>
    <w:link w:val="822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22" w:customStyle="1">
    <w:name w:val="ConsPlusNormal Знак"/>
    <w:link w:val="821"/>
    <w:rPr>
      <w:rFonts w:ascii="Arial" w:hAnsi="Arial" w:eastAsia="Times New Roman" w:cs="Arial"/>
      <w:sz w:val="20"/>
      <w:szCs w:val="20"/>
      <w:lang w:eastAsia="ru-RU"/>
    </w:rPr>
  </w:style>
  <w:style w:type="paragraph" w:styleId="823">
    <w:name w:val="Balloon Text"/>
    <w:basedOn w:val="816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7"/>
    <w:link w:val="823"/>
    <w:uiPriority w:val="99"/>
    <w:semiHidden/>
    <w:rPr>
      <w:rFonts w:ascii="Segoe UI" w:hAnsi="Segoe UI" w:eastAsia="Calibri" w:cs="Segoe UI"/>
      <w:sz w:val="18"/>
      <w:szCs w:val="18"/>
    </w:rPr>
  </w:style>
  <w:style w:type="table" w:styleId="825">
    <w:name w:val="Table Grid"/>
    <w:basedOn w:val="8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6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52</cp:revision>
  <dcterms:created xsi:type="dcterms:W3CDTF">2021-02-02T09:10:00Z</dcterms:created>
  <dcterms:modified xsi:type="dcterms:W3CDTF">2025-02-03T10:06:15Z</dcterms:modified>
</cp:coreProperties>
</file>