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/>
    </w:p>
    <w:p>
      <w:pPr>
        <w:pStyle w:val="10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 нарушения обязательных требований</w:t>
      </w:r>
      <w:r/>
    </w:p>
    <w:p>
      <w:pPr>
        <w:pStyle w:val="1011"/>
        <w:jc w:val="center"/>
      </w:pPr>
      <w:r/>
      <w:r/>
    </w:p>
    <w:tbl>
      <w:tblPr>
        <w:tblStyle w:val="867"/>
        <w:tblW w:w="5010" w:type="pct"/>
        <w:tblLayout w:type="fixed"/>
        <w:tblLook w:val="04A0" w:firstRow="1" w:lastRow="0" w:firstColumn="1" w:lastColumn="0" w:noHBand="0" w:noVBand="1"/>
      </w:tblPr>
      <w:tblGrid>
        <w:gridCol w:w="561"/>
        <w:gridCol w:w="141"/>
        <w:gridCol w:w="561"/>
        <w:gridCol w:w="2943"/>
        <w:gridCol w:w="561"/>
        <w:gridCol w:w="216"/>
        <w:gridCol w:w="561"/>
        <w:gridCol w:w="1825"/>
        <w:gridCol w:w="561"/>
        <w:gridCol w:w="1260"/>
        <w:gridCol w:w="561"/>
        <w:gridCol w:w="216"/>
        <w:gridCol w:w="561"/>
        <w:gridCol w:w="4043"/>
        <w:gridCol w:w="28"/>
      </w:tblGrid>
      <w:tr>
        <w:trPr>
          <w:gridAfter w:val="1"/>
          <w:trHeight w:val="520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/>
          </w:p>
        </w:tc>
        <w:tc>
          <w:tcPr>
            <w:gridSpan w:val="13"/>
            <w:tcW w:w="140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информация по индикатору риска нарушения обязательных требований</w:t>
            </w:r>
            <w:r/>
          </w:p>
        </w:tc>
      </w:tr>
      <w:tr>
        <w:trPr>
          <w:gridAfter w:val="1"/>
        </w:trPr>
        <w:tc>
          <w:tcPr>
            <w:tcW w:w="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</w:t>
            </w:r>
            <w:r/>
          </w:p>
        </w:tc>
        <w:tc>
          <w:tcPr>
            <w:gridSpan w:val="5"/>
            <w:tcW w:w="6106" w:type="dxa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исполнительной власти,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осуществляющего контрольную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(надзорную) деятельность,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ответственного за разработку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индикатора риска нарушения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обязательных требований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561" w:type="dxa"/>
            <w:vAlign w:val="center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</w:t>
            </w:r>
            <w:r/>
          </w:p>
        </w:tc>
        <w:tc>
          <w:tcPr>
            <w:gridSpan w:val="5"/>
            <w:tcW w:w="6641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вида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контроля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(надзора), муниципального контроля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534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W w:w="6807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Нижневартовска</w:t>
            </w:r>
            <w:r/>
          </w:p>
        </w:tc>
        <w:tc>
          <w:tcPr>
            <w:gridSpan w:val="6"/>
            <w:tcW w:w="7202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лесной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</w:t>
            </w:r>
            <w:r/>
          </w:p>
        </w:tc>
      </w:tr>
      <w:tr>
        <w:trPr>
          <w:gridAfter w:val="1"/>
          <w:trHeight w:val="449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</w:t>
            </w:r>
            <w:r/>
          </w:p>
        </w:tc>
        <w:tc>
          <w:tcPr>
            <w:gridSpan w:val="11"/>
            <w:tcW w:w="13307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индикатора риска нарушения обязательных требований</w:t>
            </w:r>
            <w:r/>
          </w:p>
        </w:tc>
      </w:tr>
      <w:tr>
        <w:trPr>
          <w:gridAfter w:val="1"/>
          <w:trHeight w:val="1067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W w:w="14009" w:type="dxa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ормационного взаимодействия, и (или) сведениями, имеющимися в распоряжении контрольного органа.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rPr>
          <w:gridAfter w:val="1"/>
          <w:trHeight w:val="415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/>
          </w:p>
        </w:tc>
        <w:tc>
          <w:tcPr>
            <w:gridSpan w:val="13"/>
            <w:tcW w:w="140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Обязательные требования, о нарушении которых свидетельствует индикатор риска</w:t>
            </w:r>
            <w:r>
              <w:rPr>
                <w:rStyle w:val="996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  <w:r/>
          </w:p>
        </w:tc>
      </w:tr>
      <w:tr>
        <w:trPr/>
        <w:tc>
          <w:tcPr>
            <w:gridSpan w:val="2"/>
            <w:tcW w:w="70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/>
          </w:p>
        </w:tc>
        <w:tc>
          <w:tcPr>
            <w:gridSpan w:val="2"/>
            <w:tcW w:w="3504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правовой акт, которым установлено обязательное требование</w:t>
            </w:r>
            <w:r/>
          </w:p>
        </w:tc>
        <w:tc>
          <w:tcPr>
            <w:gridSpan w:val="2"/>
            <w:tcW w:w="777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/>
          </w:p>
        </w:tc>
        <w:tc>
          <w:tcPr>
            <w:gridSpan w:val="4"/>
            <w:tcW w:w="4206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Структурная единица нормативного правового акта</w:t>
            </w:r>
            <w:r/>
          </w:p>
        </w:tc>
        <w:tc>
          <w:tcPr>
            <w:gridSpan w:val="2"/>
            <w:tcW w:w="777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/>
          </w:p>
        </w:tc>
        <w:tc>
          <w:tcPr>
            <w:gridSpan w:val="3"/>
            <w:tcW w:w="463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Ссылка на ФГИС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РОТ</w:t>
            </w:r>
            <w:r>
              <w:rPr>
                <w:rStyle w:val="996"/>
                <w:rFonts w:ascii="Times New Roman" w:hAnsi="Times New Roman" w:cs="Times New Roman"/>
              </w:rPr>
              <w:footnoteReference w:id="3"/>
            </w:r>
            <w:r/>
          </w:p>
        </w:tc>
      </w:tr>
      <w:tr>
        <w:trPr>
          <w:trHeight w:val="1367"/>
        </w:trPr>
        <w:tc>
          <w:tcPr>
            <w:gridSpan w:val="4"/>
            <w:tcW w:w="420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"Лесной кодекс Российской Федерации" от 04.12.2006 №200-ФЗ 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</w:r>
            <w:r/>
          </w:p>
        </w:tc>
        <w:tc>
          <w:tcPr>
            <w:gridSpan w:val="6"/>
            <w:tcW w:w="4983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60.16 </w:t>
            </w:r>
            <w:r/>
          </w:p>
        </w:tc>
        <w:tc>
          <w:tcPr>
            <w:gridSpan w:val="5"/>
            <w:tcW w:w="540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567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/>
          </w:p>
        </w:tc>
        <w:tc>
          <w:tcPr>
            <w:gridSpan w:val="13"/>
            <w:tcW w:w="140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Объект контроля</w:t>
            </w:r>
            <w:r/>
          </w:p>
        </w:tc>
      </w:tr>
      <w:tr>
        <w:trPr>
          <w:gridAfter w:val="1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/>
          </w:p>
        </w:tc>
        <w:tc>
          <w:tcPr>
            <w:gridSpan w:val="2"/>
            <w:tcW w:w="3504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4"/>
            </w:r>
            <w:r/>
          </w:p>
        </w:tc>
        <w:tc>
          <w:tcPr>
            <w:gridSpan w:val="2"/>
            <w:tcW w:w="777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/>
          </w:p>
        </w:tc>
        <w:tc>
          <w:tcPr>
            <w:gridSpan w:val="4"/>
            <w:tcW w:w="4206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5"/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777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Подвид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6"/>
            </w:r>
            <w:r/>
          </w:p>
        </w:tc>
      </w:tr>
      <w:tr>
        <w:trPr>
          <w:gridAfter w:val="1"/>
          <w:trHeight w:val="1666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restart"/>
            <w:textDirection w:val="lrTb"/>
            <w:noWrap w:val="false"/>
          </w:tcPr>
          <w:p>
            <w:pPr>
              <w:ind w:left="0" w:right="0" w:firstLine="142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54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  <w:br/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101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ия</w:t>
              <w:br/>
            </w:r>
            <w:r/>
          </w:p>
        </w:tc>
        <w:tc>
          <w:tcPr>
            <w:gridSpan w:val="6"/>
            <w:tcW w:w="498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1114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498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Результаты деятельности граждан и организаций, в том числе работы и услуги, к которым предъявляются обязательные требования;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425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498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  <w:p>
            <w:pPr>
              <w:pStyle w:val="10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613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</w:t>
            </w:r>
            <w:r/>
          </w:p>
        </w:tc>
        <w:tc>
          <w:tcPr>
            <w:gridSpan w:val="13"/>
            <w:tcW w:w="140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отклонения (соответствия) от установленных индикатором риска параметров</w:t>
            </w:r>
            <w:r/>
          </w:p>
        </w:tc>
      </w:tr>
      <w:tr>
        <w:trPr>
          <w:gridAfter w:val="1"/>
          <w:trHeight w:val="415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/>
          </w:p>
        </w:tc>
        <w:tc>
          <w:tcPr>
            <w:gridSpan w:val="11"/>
            <w:tcW w:w="1330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7"/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W w:w="140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/>
          </w:p>
        </w:tc>
      </w:tr>
      <w:tr>
        <w:trPr>
          <w:gridAfter w:val="1"/>
          <w:trHeight w:val="456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/>
          </w:p>
        </w:tc>
        <w:tc>
          <w:tcPr>
            <w:gridSpan w:val="11"/>
            <w:tcW w:w="1330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8"/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W w:w="140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= A&gt;= 2</w:t>
            </w:r>
            <w:r/>
          </w:p>
        </w:tc>
      </w:tr>
      <w:tr>
        <w:trPr>
          <w:gridAfter w:val="1"/>
          <w:trHeight w:val="497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/>
          </w:p>
        </w:tc>
        <w:tc>
          <w:tcPr>
            <w:gridSpan w:val="11"/>
            <w:tcW w:w="1330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переменных</w:t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/>
          </w:p>
        </w:tc>
        <w:tc>
          <w:tcPr>
            <w:gridSpan w:val="2"/>
            <w:tcW w:w="3504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Переменная</w:t>
            </w:r>
            <w:r>
              <w:rPr>
                <w:rStyle w:val="996"/>
                <w:rFonts w:ascii="Times New Roman" w:hAnsi="Times New Roman" w:cs="Times New Roman"/>
              </w:rPr>
              <w:footnoteReference w:id="9"/>
            </w:r>
            <w:r/>
          </w:p>
        </w:tc>
        <w:tc>
          <w:tcPr>
            <w:gridSpan w:val="2"/>
            <w:tcW w:w="777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/>
          </w:p>
        </w:tc>
        <w:tc>
          <w:tcPr>
            <w:gridSpan w:val="4"/>
            <w:tcW w:w="4206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переменной</w:t>
            </w:r>
            <w:r>
              <w:rPr>
                <w:rStyle w:val="996"/>
                <w:rFonts w:ascii="Times New Roman" w:hAnsi="Times New Roman" w:cs="Times New Roman"/>
              </w:rPr>
              <w:footnoteReference w:id="10"/>
            </w:r>
            <w:r/>
          </w:p>
        </w:tc>
        <w:tc>
          <w:tcPr>
            <w:gridSpan w:val="2"/>
            <w:tcW w:w="777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4.3.3</w:t>
            </w:r>
            <w:r/>
          </w:p>
        </w:tc>
        <w:tc>
          <w:tcPr>
            <w:tcW w:w="4043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Источник получения данных</w:t>
            </w:r>
            <w:r>
              <w:rPr>
                <w:rStyle w:val="996"/>
                <w:rFonts w:ascii="Times New Roman" w:hAnsi="Times New Roman" w:cs="Times New Roman"/>
              </w:rPr>
              <w:footnoteReference w:id="11"/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/>
          </w:p>
        </w:tc>
        <w:tc>
          <w:tcPr>
            <w:gridSpan w:val="6"/>
            <w:tcW w:w="4983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</w:t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контроля в сфере благоустройства и городских лесов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муниципального контроля администрации города Нижневартовска и  сведения, полученные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</w:t>
            </w:r>
            <w:r/>
          </w:p>
        </w:tc>
        <w:tc>
          <w:tcPr>
            <w:gridSpan w:val="6"/>
            <w:tcW w:w="4983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</w:t>
            </w:r>
            <w:r>
              <w:rPr>
                <w:rFonts w:ascii="Times New Roman" w:hAnsi="Times New Roman" w:cs="Times New Roman"/>
              </w:rPr>
              <w:t xml:space="preserve">больше 1 за 1 месяц</w:t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контроля в сфере благоустройства и городских лесов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муниципального контроля администрации города Нижневартовска и  сведения, полученные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1236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/>
          </w:p>
        </w:tc>
        <w:tc>
          <w:tcPr>
            <w:gridSpan w:val="13"/>
            <w:tcW w:w="140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проведении контрольного (надзорного) мероприятия</w:t>
            </w:r>
            <w:r/>
          </w:p>
        </w:tc>
      </w:tr>
      <w:tr>
        <w:trPr>
          <w:gridAfter w:val="1"/>
          <w:trHeight w:val="1315"/>
        </w:trPr>
        <w:tc>
          <w:tcPr>
            <w:tcW w:w="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Правоустанавливающие и иные документы, подтверждающие индивидуализирующие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признаки проверяемого объекта и его принадлежность контролируемому лицу</w:t>
            </w:r>
            <w:r>
              <w:rPr>
                <w:rStyle w:val="996"/>
                <w:rFonts w:ascii="Times New Roman" w:hAnsi="Times New Roman" w:cs="Times New Roman"/>
              </w:rPr>
              <w:footnoteReference w:id="12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 Выписка из </w:t>
            </w:r>
            <w:r>
              <w:rPr>
                <w:rFonts w:ascii="Times New Roman" w:hAnsi="Times New Roman" w:cs="Times New Roman"/>
              </w:rPr>
              <w:t xml:space="preserve">Единого государственного реестра недвижимости;</w:t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gridAfter w:val="1"/>
          <w:trHeight w:val="1558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996"/>
                <w:rFonts w:ascii="Times New Roman" w:hAnsi="Times New Roman" w:cs="Times New Roman"/>
              </w:rPr>
              <w:footnoteReference w:id="13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полученные в порядке межведомственного информационного взаимодействия, и (или) сведения, имеющиеся в распоряжении контрольного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без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проводились</w:t>
            </w:r>
            <w:r>
              <w:rPr>
                <w:rStyle w:val="996"/>
                <w:rFonts w:ascii="Times New Roman" w:hAnsi="Times New Roman" w:cs="Times New Roman"/>
              </w:rPr>
              <w:footnoteReference w:id="14"/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Предостережение</w:t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continue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8"/>
            <w:tcW w:w="8487" w:type="dxa"/>
            <w:vAlign w:val="center"/>
            <w:vMerge w:val="continue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Акт обязател</w:t>
            </w:r>
            <w:r>
              <w:rPr>
                <w:rFonts w:ascii="Times New Roman" w:hAnsi="Times New Roman" w:cs="Times New Roman"/>
                <w:highlight w:val="white"/>
              </w:rPr>
              <w:t xml:space="preserve">ьного профилактического визита</w:t>
            </w:r>
            <w:r>
              <w:rPr>
                <w:highlight w:val="white"/>
              </w:rPr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84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Акт выездного обследования без взаимодействия.</w:t>
            </w:r>
            <w:r>
              <w:rPr>
                <w:highlight w:val="white"/>
              </w:rPr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84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наблюдения за соблюдением обязательных требований.</w:t>
            </w:r>
            <w:r/>
          </w:p>
        </w:tc>
      </w:tr>
      <w:tr>
        <w:trPr>
          <w:gridAfter w:val="1"/>
          <w:trHeight w:val="1052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Иные документы, подтверждающие необходимость проведения внепланового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5"/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567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/>
          </w:p>
        </w:tc>
        <w:tc>
          <w:tcPr>
            <w:gridSpan w:val="13"/>
            <w:tcW w:w="140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проведения контрольного (надзорного) мероприятия</w:t>
            </w:r>
            <w:r/>
          </w:p>
        </w:tc>
      </w:tr>
      <w:tr>
        <w:trPr>
          <w:gridAfter w:val="1"/>
          <w:trHeight w:val="1309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контрольных (надзорных) мероприятий</w:t>
            </w:r>
            <w:r>
              <w:rPr>
                <w:rStyle w:val="996"/>
                <w:rFonts w:ascii="Times New Roman" w:hAnsi="Times New Roman" w:cs="Times New Roman"/>
              </w:rPr>
              <w:footnoteReference w:id="16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со взаимодействием с контролируемым лицом;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без взаимодействия с контролируемым лицом.</w:t>
            </w:r>
            <w:r/>
          </w:p>
        </w:tc>
      </w:tr>
      <w:tr>
        <w:trPr>
          <w:gridAfter w:val="1"/>
          <w:trHeight w:val="879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7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/>
          </w:p>
        </w:tc>
      </w:tr>
      <w:tr>
        <w:trPr>
          <w:gridAfter w:val="1"/>
          <w:trHeight w:val="1124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</w:t>
            </w:r>
            <w:r/>
          </w:p>
        </w:tc>
        <w:tc>
          <w:tcPr>
            <w:gridSpan w:val="8"/>
            <w:tcW w:w="8487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в личном</w:t>
            </w:r>
            <w:r/>
          </w:p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органа</w:t>
            </w:r>
            <w:r>
              <w:rPr>
                <w:rStyle w:val="996"/>
                <w:rFonts w:ascii="Times New Roman" w:hAnsi="Times New Roman" w:cs="Times New Roman"/>
              </w:rPr>
              <w:footnoteReference w:id="18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</w:tr>
    </w:tbl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Паспорт подготовлен:</w:t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начальник отдела – муниципальный жилищный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инспектор отдела административного контроля</w:t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управления</w:t>
      </w:r>
      <w:r>
        <w:rPr>
          <w:rFonts w:ascii="Times New Roman" w:hAnsi="Times New Roman" w:cs="Times New Roman"/>
          <w:b/>
          <w:bCs/>
          <w:u w:val="single"/>
        </w:rPr>
        <w:t xml:space="preserve"> муниципального контроля 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bCs/>
          <w:u w:val="single"/>
        </w:rPr>
        <w:t xml:space="preserve">города Нижневартовска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Руденко Роман Юрьевич</w:t>
      </w:r>
      <w:r/>
    </w:p>
    <w:p>
      <w:pPr>
        <w:pStyle w:val="10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ФИО ответственного лица)</w:t>
      </w:r>
      <w:r/>
    </w:p>
    <w:p>
      <w:pPr>
        <w:pStyle w:val="10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ел.:8(3466) 43-41-31 (доб. 28761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)</w:t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 xml:space="preserve"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  <w:r/>
    </w:p>
  </w:footnote>
  <w:footnote w:id="3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  <w:r/>
    </w:p>
  </w:footnote>
  <w:footnote w:id="4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</w:t>
      </w:r>
      <w:r>
        <w:rPr>
          <w:rFonts w:ascii="Times New Roman" w:hAnsi="Times New Roman" w:cs="Times New Roman"/>
        </w:rPr>
        <w:t xml:space="preserve">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</w:t>
      </w:r>
      <w:r>
        <w:rPr>
          <w:rFonts w:ascii="Times New Roman" w:hAnsi="Times New Roman" w:cs="Times New Roman"/>
        </w:rPr>
        <w:t xml:space="preserve">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</w:t>
      </w:r>
      <w:r>
        <w:rPr>
          <w:rFonts w:ascii="Times New Roman" w:hAnsi="Times New Roman" w:cs="Times New Roman"/>
        </w:rPr>
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r/>
    </w:p>
  </w:footnote>
  <w:footnote w:id="5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  <w:r/>
    </w:p>
  </w:footnote>
  <w:footnote w:id="6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  <w:r/>
    </w:p>
  </w:footnote>
  <w:footnote w:id="7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  <w:r/>
    </w:p>
  </w:footnote>
  <w:footnote w:id="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  <w:r/>
    </w:p>
  </w:footnote>
  <w:footnote w:id="9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  <w:r/>
    </w:p>
  </w:footnote>
  <w:footnote w:id="10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  <w:r/>
    </w:p>
  </w:footnote>
  <w:footnote w:id="11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</w:t>
      </w:r>
      <w:r>
        <w:rPr>
          <w:rFonts w:ascii="Times New Roman" w:hAnsi="Times New Roman" w:cs="Times New Roman"/>
        </w:rPr>
        <w:t xml:space="preserve">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  <w:r/>
    </w:p>
  </w:footnote>
  <w:footnote w:id="1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</w:t>
      </w:r>
      <w:r>
        <w:rPr>
          <w:rFonts w:ascii="Times New Roman" w:hAnsi="Times New Roman" w:cs="Times New Roman"/>
        </w:rPr>
        <w:t xml:space="preserve">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  <w:r/>
    </w:p>
  </w:footnote>
  <w:footnote w:id="13">
    <w:p>
      <w:pPr>
        <w:pStyle w:val="994"/>
        <w:jc w:val="both"/>
        <w:rPr>
          <w:rFonts w:ascii="Times New Roman" w:hAnsi="Times New Roman" w:cs="Times New Roman"/>
          <w:szCs w:val="18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  <w:r/>
    </w:p>
  </w:footnote>
  <w:footnote w:id="14">
    <w:p>
      <w:pPr>
        <w:pStyle w:val="1011"/>
        <w:jc w:val="both"/>
        <w:rPr>
          <w:sz w:val="18"/>
          <w:szCs w:val="18"/>
        </w:rPr>
      </w:pPr>
      <w:r>
        <w:rPr>
          <w:rStyle w:val="99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  <w:r/>
    </w:p>
  </w:footnote>
  <w:footnote w:id="15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  <w:r/>
    </w:p>
  </w:footnote>
  <w:footnote w:id="16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 xml:space="preserve">риска.</w:t>
      </w:r>
      <w:r/>
    </w:p>
  </w:footnote>
  <w:footnote w:id="17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  <w:r/>
    </w:p>
  </w:footnote>
  <w:footnote w:id="1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</w:t>
      </w:r>
      <w:r>
        <w:rPr>
          <w:rFonts w:ascii="Times New Roman" w:hAnsi="Times New Roman" w:cs="Times New Roman"/>
        </w:rPr>
        <w:t xml:space="preserve">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4">
    <w:name w:val="Heading 1 Char"/>
    <w:basedOn w:val="841"/>
    <w:link w:val="832"/>
    <w:uiPriority w:val="9"/>
    <w:rPr>
      <w:rFonts w:ascii="Arial" w:hAnsi="Arial" w:eastAsia="Arial" w:cs="Arial"/>
      <w:sz w:val="40"/>
      <w:szCs w:val="40"/>
    </w:rPr>
  </w:style>
  <w:style w:type="character" w:styleId="815">
    <w:name w:val="Heading 2 Char"/>
    <w:basedOn w:val="841"/>
    <w:link w:val="833"/>
    <w:uiPriority w:val="9"/>
    <w:rPr>
      <w:rFonts w:ascii="Arial" w:hAnsi="Arial" w:eastAsia="Arial" w:cs="Arial"/>
      <w:sz w:val="34"/>
    </w:rPr>
  </w:style>
  <w:style w:type="character" w:styleId="816">
    <w:name w:val="Heading 3 Char"/>
    <w:basedOn w:val="841"/>
    <w:link w:val="834"/>
    <w:uiPriority w:val="9"/>
    <w:rPr>
      <w:rFonts w:ascii="Arial" w:hAnsi="Arial" w:eastAsia="Arial" w:cs="Arial"/>
      <w:sz w:val="30"/>
      <w:szCs w:val="30"/>
    </w:rPr>
  </w:style>
  <w:style w:type="character" w:styleId="817">
    <w:name w:val="Heading 4 Char"/>
    <w:basedOn w:val="841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basedOn w:val="841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basedOn w:val="841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basedOn w:val="841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basedOn w:val="841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basedOn w:val="841"/>
    <w:link w:val="840"/>
    <w:uiPriority w:val="9"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basedOn w:val="841"/>
    <w:link w:val="853"/>
    <w:uiPriority w:val="10"/>
    <w:rPr>
      <w:sz w:val="48"/>
      <w:szCs w:val="48"/>
    </w:rPr>
  </w:style>
  <w:style w:type="character" w:styleId="824">
    <w:name w:val="Subtitle Char"/>
    <w:basedOn w:val="841"/>
    <w:link w:val="855"/>
    <w:uiPriority w:val="11"/>
    <w:rPr>
      <w:sz w:val="24"/>
      <w:szCs w:val="24"/>
    </w:rPr>
  </w:style>
  <w:style w:type="character" w:styleId="825">
    <w:name w:val="Quote Char"/>
    <w:link w:val="857"/>
    <w:uiPriority w:val="29"/>
    <w:rPr>
      <w:i/>
    </w:rPr>
  </w:style>
  <w:style w:type="character" w:styleId="826">
    <w:name w:val="Intense Quote Char"/>
    <w:link w:val="859"/>
    <w:uiPriority w:val="30"/>
    <w:rPr>
      <w:i/>
    </w:rPr>
  </w:style>
  <w:style w:type="character" w:styleId="827">
    <w:name w:val="Header Char"/>
    <w:basedOn w:val="841"/>
    <w:link w:val="861"/>
    <w:uiPriority w:val="99"/>
  </w:style>
  <w:style w:type="character" w:styleId="828">
    <w:name w:val="Caption Char"/>
    <w:basedOn w:val="865"/>
    <w:link w:val="863"/>
    <w:uiPriority w:val="99"/>
  </w:style>
  <w:style w:type="character" w:styleId="829">
    <w:name w:val="Footnote Text Char"/>
    <w:link w:val="994"/>
    <w:uiPriority w:val="99"/>
    <w:rPr>
      <w:sz w:val="18"/>
    </w:rPr>
  </w:style>
  <w:style w:type="character" w:styleId="830">
    <w:name w:val="Endnote Text Char"/>
    <w:link w:val="997"/>
    <w:uiPriority w:val="99"/>
    <w:rPr>
      <w:sz w:val="20"/>
    </w:r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4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33">
    <w:name w:val="Heading 2"/>
    <w:basedOn w:val="831"/>
    <w:next w:val="831"/>
    <w:link w:val="8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4">
    <w:name w:val="Heading 3"/>
    <w:basedOn w:val="831"/>
    <w:next w:val="831"/>
    <w:link w:val="84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35">
    <w:name w:val="Heading 4"/>
    <w:basedOn w:val="831"/>
    <w:next w:val="831"/>
    <w:link w:val="8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31"/>
    <w:next w:val="831"/>
    <w:link w:val="8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31"/>
    <w:next w:val="831"/>
    <w:link w:val="8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38">
    <w:name w:val="Heading 7"/>
    <w:basedOn w:val="831"/>
    <w:next w:val="831"/>
    <w:link w:val="8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39">
    <w:name w:val="Heading 8"/>
    <w:basedOn w:val="831"/>
    <w:next w:val="831"/>
    <w:link w:val="8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40">
    <w:name w:val="Heading 9"/>
    <w:basedOn w:val="831"/>
    <w:next w:val="831"/>
    <w:link w:val="8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 w:customStyle="1">
    <w:name w:val="Заголовок 1 Знак"/>
    <w:link w:val="832"/>
    <w:uiPriority w:val="9"/>
    <w:rPr>
      <w:rFonts w:ascii="Arial" w:hAnsi="Arial" w:eastAsia="Arial" w:cs="Arial"/>
      <w:sz w:val="40"/>
      <w:szCs w:val="40"/>
    </w:rPr>
  </w:style>
  <w:style w:type="character" w:styleId="845" w:customStyle="1">
    <w:name w:val="Заголовок 2 Знак"/>
    <w:link w:val="833"/>
    <w:uiPriority w:val="9"/>
    <w:rPr>
      <w:rFonts w:ascii="Arial" w:hAnsi="Arial" w:eastAsia="Arial" w:cs="Arial"/>
      <w:sz w:val="34"/>
    </w:rPr>
  </w:style>
  <w:style w:type="character" w:styleId="846" w:customStyle="1">
    <w:name w:val="Заголовок 3 Знак"/>
    <w:link w:val="834"/>
    <w:uiPriority w:val="9"/>
    <w:rPr>
      <w:rFonts w:ascii="Arial" w:hAnsi="Arial" w:eastAsia="Arial" w:cs="Arial"/>
      <w:sz w:val="30"/>
      <w:szCs w:val="30"/>
    </w:rPr>
  </w:style>
  <w:style w:type="character" w:styleId="847" w:customStyle="1">
    <w:name w:val="Заголовок 4 Знак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Заголовок 5 Знак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Заголовок 6 Знак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Заголовок 7 Знак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Заголовок 8 Знак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Заголовок 9 Знак"/>
    <w:link w:val="840"/>
    <w:uiPriority w:val="9"/>
    <w:rPr>
      <w:rFonts w:ascii="Arial" w:hAnsi="Arial" w:eastAsia="Arial" w:cs="Arial"/>
      <w:i/>
      <w:iCs/>
      <w:sz w:val="21"/>
      <w:szCs w:val="21"/>
    </w:rPr>
  </w:style>
  <w:style w:type="paragraph" w:styleId="853">
    <w:name w:val="Title"/>
    <w:basedOn w:val="831"/>
    <w:next w:val="831"/>
    <w:link w:val="854"/>
    <w:uiPriority w:val="10"/>
    <w:qFormat/>
    <w:pPr>
      <w:contextualSpacing/>
      <w:spacing w:before="300"/>
    </w:pPr>
    <w:rPr>
      <w:sz w:val="48"/>
      <w:szCs w:val="48"/>
    </w:rPr>
  </w:style>
  <w:style w:type="character" w:styleId="854" w:customStyle="1">
    <w:name w:val="Заголовок Знак"/>
    <w:link w:val="853"/>
    <w:uiPriority w:val="10"/>
    <w:rPr>
      <w:sz w:val="48"/>
      <w:szCs w:val="48"/>
    </w:rPr>
  </w:style>
  <w:style w:type="paragraph" w:styleId="855">
    <w:name w:val="Subtitle"/>
    <w:basedOn w:val="831"/>
    <w:next w:val="831"/>
    <w:link w:val="856"/>
    <w:uiPriority w:val="11"/>
    <w:qFormat/>
    <w:pPr>
      <w:spacing w:before="200"/>
    </w:pPr>
    <w:rPr>
      <w:sz w:val="24"/>
      <w:szCs w:val="24"/>
    </w:rPr>
  </w:style>
  <w:style w:type="character" w:styleId="856" w:customStyle="1">
    <w:name w:val="Подзаголовок Знак"/>
    <w:link w:val="855"/>
    <w:uiPriority w:val="11"/>
    <w:rPr>
      <w:sz w:val="24"/>
      <w:szCs w:val="24"/>
    </w:rPr>
  </w:style>
  <w:style w:type="paragraph" w:styleId="857">
    <w:name w:val="Quote"/>
    <w:basedOn w:val="831"/>
    <w:next w:val="831"/>
    <w:link w:val="858"/>
    <w:uiPriority w:val="29"/>
    <w:qFormat/>
    <w:pPr>
      <w:ind w:left="720" w:right="720"/>
    </w:pPr>
    <w:rPr>
      <w:i/>
    </w:rPr>
  </w:style>
  <w:style w:type="character" w:styleId="858" w:customStyle="1">
    <w:name w:val="Цитата 2 Знак"/>
    <w:link w:val="857"/>
    <w:uiPriority w:val="29"/>
    <w:rPr>
      <w:i/>
    </w:rPr>
  </w:style>
  <w:style w:type="paragraph" w:styleId="859">
    <w:name w:val="Intense Quote"/>
    <w:basedOn w:val="831"/>
    <w:next w:val="831"/>
    <w:link w:val="8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 w:customStyle="1">
    <w:name w:val="Выделенная цитата Знак"/>
    <w:link w:val="859"/>
    <w:uiPriority w:val="30"/>
    <w:rPr>
      <w:i/>
    </w:rPr>
  </w:style>
  <w:style w:type="paragraph" w:styleId="861">
    <w:name w:val="Header"/>
    <w:basedOn w:val="83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 w:customStyle="1">
    <w:name w:val="Верхний колонтитул Знак"/>
    <w:link w:val="861"/>
    <w:uiPriority w:val="99"/>
  </w:style>
  <w:style w:type="paragraph" w:styleId="863">
    <w:name w:val="Footer"/>
    <w:basedOn w:val="831"/>
    <w:link w:val="8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 w:customStyle="1">
    <w:name w:val="Footer Char"/>
    <w:uiPriority w:val="99"/>
  </w:style>
  <w:style w:type="paragraph" w:styleId="865">
    <w:name w:val="Caption"/>
    <w:basedOn w:val="831"/>
    <w:next w:val="83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66" w:customStyle="1">
    <w:name w:val="Нижний колонтитул Знак"/>
    <w:link w:val="863"/>
    <w:uiPriority w:val="99"/>
  </w:style>
  <w:style w:type="table" w:styleId="867">
    <w:name w:val="Table Grid"/>
    <w:basedOn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Table Grid Light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9">
    <w:name w:val="Plain Table 1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basedOn w:val="8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 w:customStyle="1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97" w:customStyle="1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98" w:customStyle="1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99" w:customStyle="1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0" w:customStyle="1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1" w:customStyle="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0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0" w:customStyle="1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1" w:customStyle="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2" w:customStyle="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3" w:customStyle="1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4" w:customStyle="1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5" w:customStyle="1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33" w:customStyle="1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9" w:customStyle="1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0" w:customStyle="1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1" w:customStyle="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2" w:customStyle="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63" w:customStyle="1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64" w:customStyle="1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6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4" w:customStyle="1">
    <w:name w:val="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5" w:customStyle="1">
    <w:name w:val="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76" w:customStyle="1">
    <w:name w:val="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77" w:customStyle="1">
    <w:name w:val="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8" w:customStyle="1">
    <w:name w:val="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9" w:customStyle="1">
    <w:name w:val="Bordered &amp; 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0" w:customStyle="1">
    <w:name w:val="Bordered &amp; 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81" w:customStyle="1">
    <w:name w:val="Bordered &amp; 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2" w:customStyle="1">
    <w:name w:val="Bordered &amp; 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3" w:customStyle="1">
    <w:name w:val="Bordered &amp; 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4" w:customStyle="1">
    <w:name w:val="Bordered &amp; 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5" w:customStyle="1">
    <w:name w:val="Bordered &amp; 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6" w:customStyle="1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7" w:customStyle="1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88" w:customStyle="1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89" w:customStyle="1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0" w:customStyle="1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1" w:customStyle="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92" w:customStyle="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563c1" w:themeColor="hyperlink"/>
      <w:u w:val="single"/>
    </w:rPr>
  </w:style>
  <w:style w:type="paragraph" w:styleId="994">
    <w:name w:val="footnote text"/>
    <w:basedOn w:val="83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 w:customStyle="1">
    <w:name w:val="Текст сноски Знак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83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 w:customStyle="1">
    <w:name w:val="Текст концевой сноски Знак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831"/>
    <w:next w:val="831"/>
    <w:uiPriority w:val="39"/>
    <w:unhideWhenUsed/>
    <w:pPr>
      <w:spacing w:after="57"/>
    </w:pPr>
  </w:style>
  <w:style w:type="paragraph" w:styleId="1001">
    <w:name w:val="toc 2"/>
    <w:basedOn w:val="831"/>
    <w:next w:val="831"/>
    <w:uiPriority w:val="39"/>
    <w:unhideWhenUsed/>
    <w:pPr>
      <w:ind w:left="283"/>
      <w:spacing w:after="57"/>
    </w:pPr>
  </w:style>
  <w:style w:type="paragraph" w:styleId="1002">
    <w:name w:val="toc 3"/>
    <w:basedOn w:val="831"/>
    <w:next w:val="831"/>
    <w:uiPriority w:val="39"/>
    <w:unhideWhenUsed/>
    <w:pPr>
      <w:ind w:left="567"/>
      <w:spacing w:after="57"/>
    </w:pPr>
  </w:style>
  <w:style w:type="paragraph" w:styleId="1003">
    <w:name w:val="toc 4"/>
    <w:basedOn w:val="831"/>
    <w:next w:val="831"/>
    <w:uiPriority w:val="39"/>
    <w:unhideWhenUsed/>
    <w:pPr>
      <w:ind w:left="850"/>
      <w:spacing w:after="57"/>
    </w:pPr>
  </w:style>
  <w:style w:type="paragraph" w:styleId="1004">
    <w:name w:val="toc 5"/>
    <w:basedOn w:val="831"/>
    <w:next w:val="831"/>
    <w:uiPriority w:val="39"/>
    <w:unhideWhenUsed/>
    <w:pPr>
      <w:ind w:left="1134"/>
      <w:spacing w:after="57"/>
    </w:pPr>
  </w:style>
  <w:style w:type="paragraph" w:styleId="1005">
    <w:name w:val="toc 6"/>
    <w:basedOn w:val="831"/>
    <w:next w:val="831"/>
    <w:uiPriority w:val="39"/>
    <w:unhideWhenUsed/>
    <w:pPr>
      <w:ind w:left="1417"/>
      <w:spacing w:after="57"/>
    </w:pPr>
  </w:style>
  <w:style w:type="paragraph" w:styleId="1006">
    <w:name w:val="toc 7"/>
    <w:basedOn w:val="831"/>
    <w:next w:val="831"/>
    <w:uiPriority w:val="39"/>
    <w:unhideWhenUsed/>
    <w:pPr>
      <w:ind w:left="1701"/>
      <w:spacing w:after="57"/>
    </w:pPr>
  </w:style>
  <w:style w:type="paragraph" w:styleId="1007">
    <w:name w:val="toc 8"/>
    <w:basedOn w:val="831"/>
    <w:next w:val="831"/>
    <w:uiPriority w:val="39"/>
    <w:unhideWhenUsed/>
    <w:pPr>
      <w:ind w:left="1984"/>
      <w:spacing w:after="57"/>
    </w:pPr>
  </w:style>
  <w:style w:type="paragraph" w:styleId="1008">
    <w:name w:val="toc 9"/>
    <w:basedOn w:val="831"/>
    <w:next w:val="831"/>
    <w:uiPriority w:val="39"/>
    <w:unhideWhenUsed/>
    <w:pPr>
      <w:ind w:left="2268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831"/>
    <w:next w:val="831"/>
    <w:uiPriority w:val="99"/>
    <w:unhideWhenUsed/>
    <w:pPr>
      <w:spacing w:after="0"/>
    </w:pPr>
  </w:style>
  <w:style w:type="paragraph" w:styleId="1011">
    <w:name w:val="No Spacing"/>
    <w:basedOn w:val="831"/>
    <w:uiPriority w:val="1"/>
    <w:qFormat/>
    <w:pPr>
      <w:spacing w:after="0" w:line="240" w:lineRule="auto"/>
    </w:pPr>
  </w:style>
  <w:style w:type="paragraph" w:styleId="1012">
    <w:name w:val="List Paragraph"/>
    <w:basedOn w:val="831"/>
    <w:uiPriority w:val="34"/>
    <w:qFormat/>
    <w:pPr>
      <w:contextualSpacing/>
      <w:ind w:left="720"/>
    </w:pPr>
  </w:style>
  <w:style w:type="paragraph" w:styleId="1013" w:customStyle="1">
    <w:name w:val="ConsPlusNormal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created xsi:type="dcterms:W3CDTF">2025-09-22T07:26:00Z</dcterms:created>
  <dcterms:modified xsi:type="dcterms:W3CDTF">2025-10-23T06:11:36Z</dcterms:modified>
</cp:coreProperties>
</file>