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Приложение 2 к протоколу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заседания Совета по вопросам развития 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инвестиционной деятельности в городе 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/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Нижневартовске от 25.08.2022 №32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Вопрос  </w:t>
      </w:r>
      <w:r>
        <w:rPr>
          <w:rFonts w:eastAsia="Calibri" w:cs="Times New Roman"/>
          <w:b/>
          <w:bCs/>
          <w:color w:val="auto"/>
          <w:kern w:val="0"/>
          <w:sz w:val="27"/>
          <w:szCs w:val="27"/>
          <w:lang w:val="ru-RU" w:eastAsia="en-US" w:bidi="ar-SA"/>
        </w:rPr>
        <w:t>1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sz w:val="27"/>
          <w:szCs w:val="27"/>
        </w:rPr>
      </w:pPr>
      <w:r>
        <w:rPr>
          <w:b/>
          <w:bCs/>
          <w:i w:val="false"/>
          <w:sz w:val="27"/>
          <w:szCs w:val="27"/>
          <w:shd w:fill="auto" w:val="clear"/>
        </w:rPr>
        <w:t xml:space="preserve">заседания Совета по вопросам развития </w:t>
      </w:r>
      <w:r>
        <w:rPr>
          <w:rFonts w:cs="Tinos"/>
          <w:b/>
          <w:bCs/>
          <w:i w:val="false"/>
          <w:color w:val="000000"/>
          <w:sz w:val="27"/>
          <w:szCs w:val="27"/>
          <w:shd w:fill="auto" w:val="clear"/>
        </w:rPr>
        <w:t>инвестиционной деятельности в городе Нижневартовске 25.08.2022</w:t>
      </w:r>
    </w:p>
    <w:p>
      <w:pPr>
        <w:pStyle w:val="Normal"/>
        <w:widowControl/>
        <w:shd w:val="clear" w:color="auto" w:fill="FFFFFF"/>
        <w:tabs>
          <w:tab w:val="clear" w:pos="367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2"/>
        <w:widowControl/>
        <w:numPr>
          <w:ilvl w:val="0"/>
          <w:numId w:val="0"/>
        </w:numPr>
        <w:tabs>
          <w:tab w:val="clear" w:pos="367"/>
          <w:tab w:val="left" w:pos="993" w:leader="none"/>
        </w:tabs>
        <w:overflowPunct w:val="false"/>
        <w:bidi w:val="0"/>
        <w:spacing w:lineRule="atLeast" w:line="0" w:before="0" w:after="0"/>
        <w:ind w:left="0" w:right="0" w:firstLine="680"/>
        <w:jc w:val="center"/>
        <w:outlineLvl w:val="1"/>
        <w:rPr>
          <w:sz w:val="27"/>
          <w:szCs w:val="27"/>
        </w:rPr>
      </w:pPr>
      <w:r>
        <w:rPr>
          <w:rFonts w:ascii="Times New Roman" w:hAnsi="Times New Roman"/>
          <w:i w:val="false"/>
          <w:sz w:val="27"/>
          <w:szCs w:val="27"/>
          <w:shd w:fill="auto" w:val="clear"/>
        </w:rPr>
        <w:t xml:space="preserve">О результатах рейтинга города Нижневартовска по обеспечению условий благоприятного инвестиционного климата и содействию </w:t>
      </w:r>
      <w:r>
        <w:rPr>
          <w:rFonts w:ascii="Times New Roman" w:hAnsi="Times New Roman"/>
          <w:i w:val="false"/>
          <w:sz w:val="27"/>
          <w:szCs w:val="27"/>
        </w:rPr>
        <w:t>развитию конкуренции по итогам 20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auto"/>
          <w:kern w:val="0"/>
          <w:sz w:val="27"/>
          <w:szCs w:val="27"/>
          <w:lang w:val="ru-RU" w:eastAsia="en-US" w:bidi="ar-SA"/>
        </w:rPr>
        <w:t xml:space="preserve">21 </w:t>
      </w:r>
      <w:r>
        <w:rPr>
          <w:rFonts w:ascii="Times New Roman" w:hAnsi="Times New Roman"/>
          <w:i w:val="false"/>
          <w:sz w:val="27"/>
          <w:szCs w:val="27"/>
        </w:rPr>
        <w:t>года.</w:t>
      </w:r>
    </w:p>
    <w:p>
      <w:pPr>
        <w:pStyle w:val="Normal"/>
        <w:widowControl/>
        <w:numPr>
          <w:ilvl w:val="0"/>
          <w:numId w:val="0"/>
        </w:numPr>
        <w:tabs>
          <w:tab w:val="clear" w:pos="367"/>
          <w:tab w:val="left" w:pos="993" w:leader="none"/>
        </w:tabs>
        <w:overflowPunct w:val="false"/>
        <w:bidi w:val="0"/>
        <w:spacing w:lineRule="atLeast" w:line="0" w:before="0" w:after="0"/>
        <w:ind w:left="0" w:right="0" w:firstLine="680"/>
        <w:jc w:val="both"/>
        <w:outlineLvl w:val="1"/>
        <w:rPr>
          <w:rFonts w:ascii="Times New Roman" w:hAnsi="Times New Roman"/>
          <w:i w:val="false"/>
          <w:i w:val="false"/>
        </w:rPr>
      </w:pPr>
      <w:r>
        <w:rPr>
          <w:i w:val="false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367"/>
          <w:tab w:val="left" w:pos="993" w:leader="none"/>
        </w:tabs>
        <w:overflowPunct w:val="false"/>
        <w:bidi w:val="0"/>
        <w:spacing w:lineRule="auto" w:line="240" w:before="0" w:after="0"/>
        <w:ind w:left="0" w:right="0" w:hanging="0"/>
        <w:jc w:val="both"/>
        <w:outlineLvl w:val="1"/>
        <w:rPr>
          <w:sz w:val="27"/>
          <w:szCs w:val="27"/>
        </w:rPr>
      </w:pPr>
      <w:r>
        <w:rPr>
          <w:rFonts w:eastAsia="Times New Roman" w:cs="Times New Roman"/>
          <w:bCs/>
          <w:i/>
          <w:sz w:val="27"/>
          <w:szCs w:val="27"/>
        </w:rPr>
        <w:t>Ответственный за подготовку информации</w:t>
      </w:r>
      <w:r>
        <w:rPr>
          <w:rFonts w:cs="Times New Roman"/>
          <w:bCs/>
          <w:i/>
          <w:sz w:val="27"/>
          <w:szCs w:val="27"/>
        </w:rPr>
        <w:t>: Ситников Виктор Петрович, заместитель главы города, директор департамента строительства администрации города</w:t>
      </w:r>
    </w:p>
    <w:p>
      <w:pPr>
        <w:pStyle w:val="Normal"/>
        <w:widowControl/>
        <w:numPr>
          <w:ilvl w:val="0"/>
          <w:numId w:val="0"/>
        </w:numPr>
        <w:tabs>
          <w:tab w:val="clear" w:pos="367"/>
          <w:tab w:val="left" w:pos="993" w:leader="none"/>
        </w:tabs>
        <w:overflowPunct w:val="false"/>
        <w:bidi w:val="0"/>
        <w:spacing w:lineRule="atLeast" w:line="0" w:before="0" w:after="0"/>
        <w:ind w:left="0" w:right="0" w:firstLine="708"/>
        <w:jc w:val="both"/>
        <w:outlineLvl w:val="1"/>
        <w:rPr>
          <w:rFonts w:ascii="Times New Roman" w:hAnsi="Times New Roman"/>
          <w:i w:val="false"/>
          <w:i w:val="false"/>
          <w:sz w:val="27"/>
          <w:szCs w:val="27"/>
        </w:rPr>
      </w:pPr>
      <w:r>
        <w:rPr>
          <w:i w:val="false"/>
          <w:sz w:val="27"/>
          <w:szCs w:val="27"/>
        </w:rPr>
      </w:r>
    </w:p>
    <w:p>
      <w:pPr>
        <w:pStyle w:val="2"/>
        <w:spacing w:lineRule="atLeast" w:line="0" w:before="0" w:after="0"/>
        <w:ind w:left="0" w:right="0" w:firstLine="709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i w:val="false"/>
          <w:sz w:val="27"/>
          <w:szCs w:val="27"/>
        </w:rPr>
        <w:t>По итогам Рейтинга за 20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olor w:val="auto"/>
          <w:kern w:val="0"/>
          <w:sz w:val="27"/>
          <w:szCs w:val="27"/>
          <w:lang w:val="ru-RU" w:eastAsia="en-US" w:bidi="ar-SA"/>
        </w:rPr>
        <w:t>21</w:t>
      </w:r>
      <w:r>
        <w:rPr>
          <w:rFonts w:ascii="Times New Roman" w:hAnsi="Times New Roman"/>
          <w:b w:val="false"/>
          <w:i w:val="false"/>
          <w:sz w:val="27"/>
          <w:szCs w:val="27"/>
        </w:rPr>
        <w:t xml:space="preserve"> год Нижневартовск занял 5 место (в 2018 году — 7 место, 2019 — 4 место, 2020 — 3 место). </w:t>
        <w:tab/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>Рейтинг проводился по 29 показателям, в том числе по 6 набран максимальный балл, из 29 показателей: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737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- по 11 показателям </w:t>
      </w:r>
      <w:r>
        <w:rPr>
          <w:rFonts w:eastAsia="Calibri" w:cs="Times New Roman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балл</w:t>
      </w:r>
      <w:r>
        <w:rPr>
          <w:b w:val="false"/>
          <w:bCs w:val="false"/>
          <w:sz w:val="27"/>
          <w:szCs w:val="27"/>
        </w:rPr>
        <w:t xml:space="preserve"> снизился,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737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>- по 6 показателям балл не изменился,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737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>- по 9 показателям балл вырос,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- добавили </w:t>
      </w:r>
      <w:r>
        <w:rPr>
          <w:rFonts w:eastAsia="Calibri" w:cs="Times New Roman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2 новых показателя, 1 показатель не оценивался.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ascii="Tinos" w:hAnsi="Tinos"/>
          <w:b w:val="false"/>
          <w:bCs w:val="false"/>
          <w:sz w:val="27"/>
          <w:szCs w:val="27"/>
        </w:rPr>
        <w:t>Показатели, по которым сложилась положительная динамика в сравнении с прошлым годом: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ascii="Tinos" w:hAnsi="Tinos"/>
          <w:b w:val="false"/>
          <w:bCs w:val="false"/>
          <w:sz w:val="27"/>
          <w:szCs w:val="27"/>
        </w:rPr>
        <w:t>- у</w:t>
      </w:r>
      <w:r>
        <w:rPr>
          <w:rFonts w:cs="Tinos" w:ascii="Tinos" w:hAnsi="Tinos"/>
          <w:b w:val="false"/>
          <w:bCs w:val="false"/>
          <w:sz w:val="27"/>
          <w:szCs w:val="27"/>
        </w:rPr>
        <w:t>ровень развития инвестиционной деятельности в несырьевых секторах экономики. По данному показателю получен максимальный балл — 5 из 5. По итогам 2021 года в Нижневартовске реализовано 60 инвестиционных проектов, количество созданных рабочих мест — 248,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nos" w:ascii="Tinos" w:hAnsi="Tinos"/>
          <w:b w:val="false"/>
          <w:bCs w:val="false"/>
          <w:sz w:val="27"/>
          <w:szCs w:val="27"/>
        </w:rPr>
        <w:t>- доля мер муниципальной поддержки, предоставленных в электронном виде. По данному показателю получен максимальный балл — 5 из 5. Доля мер поддержки, предоставленных в электронном виде, составила 92% (324 меры поддержки из 352). В прошлом году данный показатель составлял 51,5 % (353 меры поддержки из 686),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nos" w:ascii="Tinos" w:hAnsi="Tinos"/>
          <w:b w:val="false"/>
          <w:bCs w:val="false"/>
          <w:sz w:val="27"/>
          <w:szCs w:val="27"/>
        </w:rPr>
        <w:t xml:space="preserve">- динамика числа субъектов малого и среднего предпринимательства, включая ИП и физических лиц, применяющих специальный налоговый режим «Налог на профессиональный доход». По данному показателю получено 3 балла из 5. </w:t>
      </w:r>
      <w:r>
        <w:rPr>
          <w:rFonts w:eastAsia="Calibri" w:cs="Tinos" w:ascii="Tinos" w:hAnsi="Tinos"/>
          <w:b w:val="false"/>
          <w:bCs w:val="false"/>
          <w:sz w:val="27"/>
          <w:szCs w:val="27"/>
          <w:lang w:eastAsia="en-US"/>
        </w:rPr>
        <w:t xml:space="preserve">Показатель формируется на основе данных </w:t>
      </w:r>
      <w:r>
        <w:rPr>
          <w:rFonts w:eastAsia="Calibri" w:cs="Tinos" w:ascii="Tinos" w:hAnsi="Tinos"/>
          <w:b w:val="false"/>
          <w:bCs w:val="false"/>
          <w:color w:val="auto"/>
          <w:sz w:val="27"/>
          <w:szCs w:val="27"/>
          <w:lang w:val="ru-RU" w:eastAsia="en-US" w:bidi="ar-SA"/>
        </w:rPr>
        <w:t>ФНС</w:t>
      </w:r>
      <w:r>
        <w:rPr>
          <w:rFonts w:eastAsia="Calibri" w:cs="Tinos" w:ascii="Tinos" w:hAnsi="Tinos"/>
          <w:b w:val="false"/>
          <w:bCs w:val="false"/>
          <w:sz w:val="27"/>
          <w:szCs w:val="27"/>
          <w:lang w:eastAsia="en-US"/>
        </w:rPr>
        <w:t xml:space="preserve"> России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. </w:t>
      </w:r>
      <w:r>
        <w:rPr>
          <w:rFonts w:eastAsia="Calibri" w:cs="Tinos" w:ascii="Tinos" w:hAnsi="Tinos"/>
          <w:b w:val="false"/>
          <w:bCs w:val="false"/>
          <w:sz w:val="27"/>
          <w:szCs w:val="27"/>
          <w:lang w:eastAsia="en-US"/>
        </w:rPr>
        <w:t xml:space="preserve">По числу субъектов </w:t>
      </w:r>
      <w:r>
        <w:rPr>
          <w:rFonts w:eastAsia="Calibri" w:cs="Tinos" w:ascii="Tinos" w:hAnsi="Tinos"/>
          <w:b w:val="false"/>
          <w:bCs w:val="false"/>
          <w:color w:val="auto"/>
          <w:sz w:val="27"/>
          <w:szCs w:val="27"/>
          <w:lang w:val="ru-RU" w:eastAsia="en-US" w:bidi="ar-SA"/>
        </w:rPr>
        <w:t>МСП</w:t>
      </w:r>
      <w:r>
        <w:rPr>
          <w:rFonts w:eastAsia="Calibri" w:cs="Tinos" w:ascii="Tinos" w:hAnsi="Tinos"/>
          <w:b w:val="false"/>
          <w:bCs w:val="false"/>
          <w:sz w:val="27"/>
          <w:szCs w:val="27"/>
          <w:lang w:eastAsia="en-US"/>
        </w:rPr>
        <w:t xml:space="preserve"> город Нижневартовск сохраняет лидирующие позиции и занимает второе место среди муниципальных образований автономного округа (1 – город Сургут). В 2021 году рост показателя </w:t>
      </w:r>
      <w:r>
        <w:rPr>
          <w:rFonts w:cs="Tinos" w:ascii="Tinos" w:hAnsi="Tinos"/>
          <w:b w:val="false"/>
          <w:bCs w:val="false"/>
          <w:sz w:val="27"/>
          <w:szCs w:val="27"/>
        </w:rPr>
        <w:t>на 24,8%</w:t>
      </w:r>
      <w:r>
        <w:rPr>
          <w:rFonts w:eastAsia="Calibri" w:cs="Tinos" w:ascii="Tinos" w:hAnsi="Tinos"/>
          <w:b w:val="false"/>
          <w:bCs w:val="false"/>
          <w:sz w:val="27"/>
          <w:szCs w:val="27"/>
          <w:lang w:eastAsia="en-US"/>
        </w:rPr>
        <w:t xml:space="preserve"> обусловлен увеличением численности 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физических лиц, применяющий специальный налоговый режим "Налог на профессиональный доход" в 2,5 раза по отношению к 2020 году (с 2 478 чел. до 6 302 чел.). При этом количество субъектов </w:t>
      </w:r>
      <w:r>
        <w:rPr>
          <w:rFonts w:eastAsia="Calibri" w:cs="Tinos" w:ascii="Tinos" w:hAnsi="Tinos"/>
          <w:b w:val="false"/>
          <w:bCs w:val="false"/>
          <w:color w:val="auto"/>
          <w:sz w:val="27"/>
          <w:szCs w:val="27"/>
          <w:lang w:val="ru-RU" w:eastAsia="zh-CN" w:bidi="ar-SA"/>
        </w:rPr>
        <w:t>МСП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 (юридических лиц и индивидуальных предпринимателей сократилось на 0,6% (с 12 642 до 12 567 единиц),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nos" w:ascii="Tinos" w:hAnsi="Tinos"/>
          <w:b w:val="false"/>
          <w:bCs w:val="false"/>
          <w:sz w:val="27"/>
          <w:szCs w:val="27"/>
        </w:rPr>
        <w:t xml:space="preserve">- </w:t>
      </w:r>
      <w:r>
        <w:rPr>
          <w:rFonts w:eastAsia="Calibri" w:cs="Tinos" w:ascii="Tinos" w:hAnsi="Tinos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о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предпринимательства. По данному показателю </w:t>
      </w:r>
      <w:r>
        <w:rPr>
          <w:rFonts w:eastAsia="Calibri" w:cs="Tinos" w:ascii="Tinos" w:hAnsi="Tinos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набрано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 4 балла из 5. Показатель удалось увеличить главным образом за счет увеличения финансирования по Программам МСП и АПК,</w:t>
      </w:r>
    </w:p>
    <w:p>
      <w:pPr>
        <w:pStyle w:val="Normal"/>
        <w:widowControl/>
        <w:suppressAutoHyphens w:val="true"/>
        <w:overflowPunct w:val="false"/>
        <w:bidi w:val="0"/>
        <w:spacing w:lineRule="atLeast" w:line="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nos" w:ascii="Tinos" w:hAnsi="Tinos"/>
          <w:b w:val="false"/>
          <w:bCs w:val="false"/>
          <w:sz w:val="27"/>
          <w:szCs w:val="27"/>
        </w:rPr>
        <w:t>- оценка субъектами предпринимательской деятельности наличия и уровня административных барьеров. По данному показателю получен</w:t>
      </w:r>
      <w:r>
        <w:rPr>
          <w:rFonts w:eastAsia="Calibri" w:cs="Tinos" w:ascii="Tinos" w:hAnsi="Tinos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о 2 балла из 4</w:t>
      </w:r>
      <w:r>
        <w:rPr>
          <w:rFonts w:cs="Tinos" w:ascii="Tinos" w:hAnsi="Tinos"/>
          <w:b w:val="false"/>
          <w:bCs w:val="false"/>
          <w:sz w:val="27"/>
          <w:szCs w:val="27"/>
        </w:rPr>
        <w:t xml:space="preserve">. </w:t>
      </w:r>
      <w:r>
        <w:rPr>
          <w:rFonts w:eastAsia="Times New Roman" w:cs="Tinos" w:ascii="Tinos" w:hAnsi="Tinos"/>
          <w:b w:val="false"/>
          <w:bCs w:val="false"/>
          <w:sz w:val="27"/>
          <w:szCs w:val="27"/>
          <w:lang w:eastAsia="ru-RU"/>
        </w:rPr>
        <w:t>К участию в опросе были привлечены 546 предпринимателей (51 из Нижневартовска), представляющих все муниципальные образования автономного округа. Согласно значениям показателя в Нижневартовске выросла оценка деятельности органов власти и снизились административные барьеры для бизнеса,</w:t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rFonts w:eastAsia="Calibri" w:cs="Tinos" w:ascii="Tinos" w:hAnsi="Tinos"/>
          <w:b w:val="false"/>
          <w:bCs w:val="false"/>
          <w:sz w:val="27"/>
          <w:szCs w:val="27"/>
        </w:rPr>
        <w:t xml:space="preserve">- эффективность процедур по выдаче разрешений на строительство. По данному показателю получен максимальный балл — 5 из 5. </w:t>
      </w:r>
      <w:r>
        <w:rPr>
          <w:rFonts w:eastAsia="Calibri" w:cs="Tinos" w:ascii="Tinos" w:hAnsi="Tinos"/>
          <w:b w:val="false"/>
          <w:bCs w:val="false"/>
          <w:sz w:val="27"/>
          <w:szCs w:val="27"/>
          <w:shd w:fill="auto" w:val="clear"/>
        </w:rPr>
        <w:t xml:space="preserve">В показателе два критерия: </w:t>
      </w:r>
      <w:r>
        <w:rPr>
          <w:rFonts w:cs="Tinos" w:ascii="Tinos" w:hAnsi="Tinos"/>
          <w:sz w:val="27"/>
          <w:szCs w:val="27"/>
          <w:shd w:fill="auto" w:val="clear"/>
        </w:rPr>
        <w:t xml:space="preserve">время получения разрешений на строительство и </w:t>
      </w:r>
      <w:r>
        <w:rPr>
          <w:rFonts w:eastAsia="Calibri" w:cs="Tinos" w:ascii="Tinos" w:hAnsi="Tinos"/>
          <w:b w:val="false"/>
          <w:bCs w:val="false"/>
          <w:sz w:val="27"/>
          <w:szCs w:val="27"/>
          <w:shd w:fill="auto" w:val="clear"/>
        </w:rPr>
        <w:t xml:space="preserve">доля </w:t>
      </w:r>
      <w:r>
        <w:rPr>
          <w:rFonts w:eastAsia="Calibri" w:cs="Tinos" w:ascii="Tinos" w:hAnsi="Tinos"/>
          <w:b w:val="false"/>
          <w:bCs w:val="false"/>
          <w:color w:val="000000"/>
          <w:sz w:val="27"/>
          <w:szCs w:val="27"/>
          <w:shd w:fill="auto" w:val="clear"/>
          <w:lang w:val="ru-RU" w:eastAsia="zh-CN" w:bidi="ar-SA"/>
        </w:rPr>
        <w:t>поданных заявлений на получение разрешений на строительство</w:t>
      </w:r>
      <w:r>
        <w:rPr>
          <w:rFonts w:eastAsia="Calibri" w:cs="Tinos" w:ascii="Tinos" w:hAnsi="Tinos"/>
          <w:b w:val="false"/>
          <w:bCs w:val="false"/>
          <w:sz w:val="27"/>
          <w:szCs w:val="27"/>
          <w:shd w:fill="auto" w:val="clear"/>
        </w:rPr>
        <w:t xml:space="preserve"> через Единый портал государственных и муниципальных услуг, ГИСОГД от общего количества поданных заявлений. </w:t>
      </w:r>
      <w:r>
        <w:rPr>
          <w:rFonts w:eastAsia="Calibri" w:cs="Times New Roman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>Доля поданных в 2021 году заявлений на предоставление муниципальной услуги через Единый портал государственных и муниципальных услуг, ГИСОГД составляет 100 %,</w:t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>- д</w:t>
      </w:r>
      <w:r>
        <w:rPr>
          <w:rFonts w:eastAsia="Calibri" w:cs="Tinos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 xml:space="preserve">остижение целевых показателей, на исполнение которых направлены мероприятия органов местного самоуправления муниципальных образований по содействию развития конкуренции на товарных рынках. По данному показателю получено 5,5 баллов из 8. </w:t>
      </w:r>
      <w:r>
        <w:rPr>
          <w:rFonts w:eastAsia="Calibri" w:cs="Tinos" w:ascii="Tinos" w:hAnsi="Tinos"/>
          <w:b w:val="false"/>
          <w:bCs w:val="false"/>
          <w:color w:val="000000"/>
          <w:kern w:val="0"/>
          <w:sz w:val="27"/>
          <w:szCs w:val="27"/>
          <w:u w:val="none"/>
          <w:shd w:fill="auto" w:val="clear"/>
          <w:lang w:val="ru-RU" w:eastAsia="zh-CN" w:bidi="ar-SA"/>
        </w:rPr>
        <w:t>По большей части целевых показателей набраны максимальные баллы, в том числе по показателям «Доля организаций частной формы собственности в сфере выполнения работ по благоустройству городской среды», «Увеличение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о сооружений связи», «Доля организаций частной формы собственности в сфере ритуальных услуг»,</w:t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rFonts w:eastAsia="Calibri" w:cs="Tinos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>- сокращение количества хозяйствующих субъектов, доля участия муниципального образования в которых составляет 50 и более процентов.  При расчете показателя, использованы данные органов Федеральной службы государственной статистики. По данному показателю получен 1 балл из 1,5. Показатель удалось улучшить за счет реорганизации в 2021 году трех дошкольных учреждений,</w:t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rFonts w:eastAsia="Calibri" w:cs="Tinos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>- лучшие муниципальные практики содействия развитию конкуренции, вошедшие в «белую книгу» и/или в перечень лучших региональных практик содействия развитию конкуренции, а также победители и лауреаты конкурсов «Лучшие практики по содействию развитию конкуренции» и «Лучшие проекты (практики) по функционированию системы антимонопольного комплаенса. Принято участие в двух практиках. По данному показателю получено 2 балла.</w:t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tLeast" w:line="0" w:before="0" w:after="0"/>
        <w:ind w:firstLine="708"/>
        <w:jc w:val="both"/>
        <w:rPr>
          <w:sz w:val="27"/>
          <w:szCs w:val="27"/>
        </w:rPr>
      </w:pPr>
      <w:r>
        <w:rPr>
          <w:rFonts w:eastAsia="Calibri" w:cs="Tinos" w:ascii="Tinos" w:hAnsi="Tinos"/>
          <w:b w:val="false"/>
          <w:bCs w:val="false"/>
          <w:color w:val="000000"/>
          <w:sz w:val="27"/>
          <w:szCs w:val="27"/>
          <w:u w:val="none"/>
          <w:shd w:fill="auto" w:val="clear"/>
          <w:lang w:val="ru-RU" w:eastAsia="zh-CN" w:bidi="ar-SA"/>
        </w:rPr>
        <w:t>Показатели, по которым произошло снижение балла: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д</w:t>
      </w:r>
      <w:r>
        <w:rPr>
          <w:rFonts w:cs="Times New Roman"/>
          <w:b w:val="false"/>
          <w:bCs w:val="false"/>
        </w:rPr>
        <w:t xml:space="preserve">инамика инвестиций в основной капитал (за исключением инвестиций по виду экономической деятельности "Добыча полезных ископаемых"). Набрали 3,5 балла из 5. Данные Росстата. По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данному показателю</w:t>
      </w:r>
      <w:r>
        <w:rPr>
          <w:rFonts w:cs="Times New Roman"/>
          <w:b w:val="false"/>
          <w:bCs w:val="false"/>
        </w:rPr>
        <w:t xml:space="preserve"> Нижневартовск занял второе место среди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МО </w:t>
      </w:r>
      <w:r>
        <w:rPr>
          <w:rFonts w:cs="Times New Roman"/>
          <w:b w:val="false"/>
          <w:bCs w:val="false"/>
        </w:rPr>
        <w:t>автономного округа (1 – город Сургут). Сокращение значения показателя к уровню 2020 года на 1,8% или 0,4 млрд. рублей обусловлено сокращением капитальных вложений по видам экономической деятельности: "Образование" (на 49,4%), "Деятельность по операциям с недвижимым имуществом" (на 39,6%)</w:t>
      </w:r>
      <w:r>
        <w:rPr>
          <w:rFonts w:cs="Times New Roman"/>
          <w:b w:val="false"/>
          <w:bCs w:val="false"/>
          <w:color w:val="000000"/>
        </w:rPr>
        <w:t>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color w:val="000000"/>
        </w:rPr>
        <w:t>- привлечение инвестиций в соответствии с соглашениями (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СПИК</w:t>
      </w:r>
      <w:r>
        <w:rPr>
          <w:rFonts w:cs="Times New Roman"/>
          <w:b w:val="false"/>
          <w:bCs w:val="false"/>
          <w:color w:val="000000"/>
        </w:rPr>
        <w:t>; концессионные соглашения; соглашения о МЧП; КЖЦ; договоры аренды муниципального имущества, предусматривающие инвестиционные обязательства арендатора; м</w:t>
      </w:r>
      <w:r>
        <w:rPr>
          <w:rFonts w:cs="Tinos;Times New Roman" w:ascii="Tinos;Times New Roman" w:hAnsi="Tinos;Times New Roman"/>
          <w:b w:val="false"/>
          <w:bCs w:val="false"/>
          <w:color w:val="000000"/>
        </w:rPr>
        <w:t>униципальные энергосервисные контракты; д</w:t>
      </w:r>
      <w:r>
        <w:rPr>
          <w:rFonts w:cs="Times New Roman"/>
          <w:b w:val="false"/>
          <w:bCs w:val="false"/>
          <w:color w:val="000000"/>
        </w:rPr>
        <w:t xml:space="preserve">оговор КРТ). Набрали 3,5 балла из 5. Информация для расчета показателя формируется на основе данных, внесенных в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ГАС </w:t>
      </w:r>
      <w:r>
        <w:rPr>
          <w:rFonts w:cs="Times New Roman"/>
          <w:b w:val="false"/>
          <w:bCs w:val="false"/>
          <w:color w:val="000000"/>
        </w:rPr>
        <w:t>"Управление". Показатель снизился ввиду отсутствия части данных по энергосервисным контрактам в ГАС «Управление», а именно отсутствие подтверждающих данных по объему произведенных инвестиций,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</w:rPr>
        <w:t xml:space="preserve">- уровень снижения бюджетной нагрузки в результате реализации проектов в соответствии с соглашениями муниципально-частного партнерства, концессионными соглашениями, заключенными в отчетном году. Набрали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/>
          <w:b w:val="false"/>
          <w:bCs w:val="false"/>
          <w:color w:val="000000"/>
        </w:rPr>
        <w:t xml:space="preserve"> баллов из 5. Показатель снизился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ввиду отсутствия </w:t>
      </w:r>
      <w:r>
        <w:rPr>
          <w:rFonts w:cs="Times New Roman"/>
          <w:b w:val="false"/>
          <w:bCs w:val="false"/>
          <w:color w:val="000000"/>
        </w:rPr>
        <w:t>заключенных концессионных соглашений в отчетном году,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э</w:t>
      </w:r>
      <w:r>
        <w:rPr>
          <w:rFonts w:cs="Times New Roman"/>
          <w:b w:val="false"/>
          <w:bCs w:val="false"/>
        </w:rPr>
        <w:t xml:space="preserve">ффективность мер муниципальной поддержки. </w:t>
      </w:r>
      <w:r>
        <w:rPr>
          <w:rFonts w:cs="Times New Roman"/>
          <w:b w:val="false"/>
          <w:bCs w:val="false"/>
          <w:color w:val="000000"/>
        </w:rPr>
        <w:t xml:space="preserve">Набрали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/>
          <w:b w:val="false"/>
          <w:bCs w:val="false"/>
          <w:color w:val="000000"/>
        </w:rPr>
        <w:t xml:space="preserve"> балл из 5. </w:t>
      </w:r>
      <w:r>
        <w:rPr>
          <w:rFonts w:cs="Tinos" w:ascii="Tinos" w:hAnsi="Tinos"/>
          <w:b w:val="false"/>
          <w:bCs w:val="false"/>
          <w:color w:val="000000"/>
        </w:rPr>
        <w:t xml:space="preserve">Показатель оценивался по критерию «Количество соглашений на предоставление мер муниципальной поддержки в расчете на 100 субъектов МСП». </w:t>
      </w:r>
      <w:r>
        <w:rPr>
          <w:rFonts w:eastAsia="Calibri" w:cs="Tinos" w:ascii="Tinos" w:hAnsi="Tinos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В 202</w:t>
      </w:r>
      <w:r>
        <w:rPr>
          <w:rFonts w:eastAsia="Calibri" w:cs="Tinos" w:ascii="Tinos" w:hAnsi="Tinos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 w:cs="Tinos" w:ascii="Tinos" w:hAnsi="Tinos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 году заключено 271 соглашение,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  <w:shd w:fill="auto" w:val="clear"/>
        </w:rPr>
      </w:pPr>
      <w:r>
        <w:rPr>
          <w:rFonts w:cs="Times New Roman"/>
          <w:b w:val="false"/>
          <w:bCs w:val="false"/>
          <w:shd w:fill="auto" w:val="clear"/>
        </w:rPr>
        <w:t xml:space="preserve">- 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44-ФЗ. </w:t>
      </w:r>
      <w:r>
        <w:rPr>
          <w:rFonts w:cs="Times New Roman"/>
          <w:b w:val="false"/>
          <w:bCs w:val="false"/>
          <w:color w:val="000000"/>
          <w:shd w:fill="auto" w:val="clear"/>
        </w:rPr>
        <w:t>Набрали 3 балла из 5.</w:t>
      </w:r>
      <w:r>
        <w:rPr>
          <w:rFonts w:cs="Times New Roman"/>
          <w:b w:val="false"/>
          <w:bCs w:val="false"/>
          <w:shd w:fill="auto" w:val="clear"/>
        </w:rPr>
        <w:t xml:space="preserve"> </w:t>
      </w:r>
      <w:r>
        <w:rPr>
          <w:rFonts w:cs="Tinos;Times New Roman" w:ascii="Tinos;Times New Roman" w:hAnsi="Tinos;Times New Roman"/>
          <w:b w:val="false"/>
          <w:bCs w:val="false"/>
          <w:i w:val="false"/>
          <w:iCs w:val="false"/>
          <w:sz w:val="28"/>
          <w:szCs w:val="28"/>
          <w:shd w:fill="auto" w:val="clear"/>
        </w:rPr>
        <w:t>У Нижневартовска по данному показателю 65%. Значительно снижает долю закупок у СМП и СОНКО ограничение по сумме контракта,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э</w:t>
      </w:r>
      <w:r>
        <w:rPr>
          <w:rFonts w:cs="Times New Roman"/>
          <w:b w:val="false"/>
          <w:bCs w:val="false"/>
        </w:rPr>
        <w:t xml:space="preserve">ффективность процедуры по получению градостроительного плана земельного участка. </w:t>
      </w:r>
      <w:r>
        <w:rPr>
          <w:rFonts w:cs="Times New Roman"/>
          <w:b w:val="false"/>
          <w:bCs w:val="false"/>
          <w:color w:val="000000"/>
        </w:rPr>
        <w:t xml:space="preserve">Набрали 4,5 балла из 5. </w:t>
      </w:r>
      <w:r>
        <w:rPr>
          <w:rFonts w:cs="Times New Roman"/>
          <w:b w:val="false"/>
          <w:bCs w:val="false"/>
          <w:i w:val="false"/>
          <w:iCs w:val="false"/>
        </w:rPr>
        <w:t xml:space="preserve">В показателе два критерия: время получения градплана (5 баллов из 5), </w:t>
      </w:r>
      <w:r>
        <w:rPr>
          <w:rFonts w:cs="Tinos;Times New Roman" w:ascii="Tinos;Times New Roman" w:hAnsi="Tinos;Times New Roman"/>
          <w:b w:val="false"/>
          <w:bCs w:val="false"/>
          <w:i w:val="false"/>
          <w:iCs w:val="false"/>
          <w:sz w:val="28"/>
          <w:szCs w:val="28"/>
          <w:shd w:fill="auto" w:val="clear"/>
        </w:rPr>
        <w:t xml:space="preserve">доля заявлений на получение градпланов, поданных  в электронном виде через Единый портал государственных и муниципальных услуг, ГИСОГД от общего количества поданных заявлений (4 балла из 5). </w:t>
      </w:r>
      <w:r>
        <w:rPr>
          <w:rFonts w:cs="Times New Roman;Times New Roman" w:ascii="Times New Roman;Times New Roman" w:hAnsi="Times New Roman;Times New Roman"/>
          <w:b w:val="false"/>
          <w:bCs w:val="false"/>
          <w:i w:val="false"/>
          <w:iCs w:val="false"/>
          <w:sz w:val="28"/>
          <w:szCs w:val="28"/>
          <w:shd w:fill="auto" w:val="clear"/>
        </w:rPr>
        <w:t>Доля поданных в 2021 году заявлений на предоставление муни</w:t>
      </w:r>
      <w:r>
        <w:rPr>
          <w:rFonts w:cs="Times New Roman;Times New Roman" w:ascii="Tinos" w:hAnsi="Tinos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ципальной услуги через Единый портал государственных и муниципальных услуг, ГИСОГД составляет 64 % от общего количества поданных заявлений,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b w:val="false"/>
          <w:bCs w:val="false"/>
          <w:color w:val="000000"/>
          <w:sz w:val="28"/>
          <w:szCs w:val="28"/>
          <w:shd w:fill="auto" w:val="clear"/>
        </w:rPr>
        <w:t>- э</w:t>
      </w:r>
      <w:r>
        <w:rPr>
          <w:rFonts w:cs="Times New Roman" w:ascii="Tinos" w:hAnsi="Tinos"/>
          <w:b w:val="false"/>
          <w:bCs w:val="false"/>
          <w:color w:val="000000"/>
          <w:sz w:val="28"/>
          <w:szCs w:val="28"/>
          <w:shd w:fill="auto" w:val="clear"/>
        </w:rPr>
        <w:t xml:space="preserve">ффективность процедур по подключению электроэнергии. Набрали </w:t>
      </w: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</w:t>
      </w:r>
      <w:r>
        <w:rPr>
          <w:rFonts w:cs="Times New Roman" w:ascii="Tinos" w:hAnsi="Tinos"/>
          <w:b w:val="false"/>
          <w:bCs w:val="false"/>
          <w:color w:val="000000"/>
          <w:sz w:val="28"/>
          <w:szCs w:val="28"/>
          <w:shd w:fill="auto" w:val="clear"/>
        </w:rPr>
        <w:t xml:space="preserve"> балл из 5. Снижение значение показателя 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по причине большого объема заявок на технологическое присоединение и нового строительства инженерных сетей по большинству заявок,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cs="Times New Roman" w:ascii="Tinos" w:hAnsi="Tinos"/>
          <w:b w:val="false"/>
          <w:bCs w:val="false"/>
          <w:color w:val="000000"/>
          <w:sz w:val="28"/>
          <w:szCs w:val="28"/>
          <w:shd w:fill="auto" w:val="clear"/>
        </w:rPr>
        <w:t>- э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ффективность процедур по подключению к сетям водоснабжения и водоотведения. Набрали </w:t>
      </w: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0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 баллов из 5. </w:t>
      </w: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Низкий балл показателя обусловлен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недостаточной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 информацией по показателю при передаче данных в Департамент жилищно-коммунального комплекса и энергетики Х</w:t>
      </w:r>
      <w:r>
        <w:rPr>
          <w:rFonts w:eastAsia="Calibri" w:cs="Times New Roman" w:ascii="Tinos" w:hAnsi="Tinos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МАО</w:t>
      </w: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 – Югры,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hd w:fill="auto" w:val="clear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>- наличие утвержденного перечня товарных рынков для содействия развитию конкуренци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и в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МО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>. Набрали 1,6 балла из 5,2. Снижение значения показателя у большинства муниципалитетов обусловлено внесением изменений в параметризацию Рейтинга. Ранее за 10 товарных рынков присваивался 1 балл и за каждый последующий рынок 0,5 балла. В актуальной редакции параметризации Рейтинга для получения 1 балла необходимо 20 товарных рынков и за каждый последующий рынок 0,2 балла,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color w:val="000000"/>
        </w:rPr>
      </w:pPr>
      <w:r>
        <w:rPr>
          <w:b w:val="false"/>
          <w:bCs w:val="false"/>
          <w:color w:val="000000"/>
        </w:rPr>
        <w:t>- и</w:t>
      </w:r>
      <w:r>
        <w:rPr>
          <w:rFonts w:cs="Times New Roman"/>
          <w:b w:val="false"/>
          <w:bCs w:val="false"/>
          <w:color w:val="000000"/>
        </w:rPr>
        <w:t xml:space="preserve">нформационный раздел на официальном сайте администрации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МО</w:t>
      </w:r>
      <w:r>
        <w:rPr>
          <w:rFonts w:cs="Times New Roman"/>
          <w:b w:val="false"/>
          <w:bCs w:val="false"/>
          <w:color w:val="000000"/>
        </w:rPr>
        <w:t xml:space="preserve"> об инвестиционной и предпринимательской деятельности или отдельный инвестиционный портал администрации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МО</w:t>
      </w:r>
      <w:r>
        <w:rPr>
          <w:rFonts w:cs="Times New Roman"/>
          <w:b w:val="false"/>
          <w:bCs w:val="false"/>
          <w:color w:val="000000"/>
        </w:rPr>
        <w:t xml:space="preserve">, наличие интерактивных сервисов подачи заявок через информационный раздел, инвестиционный портал. Набрали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/>
          <w:b w:val="false"/>
          <w:bCs w:val="false"/>
          <w:color w:val="000000"/>
        </w:rPr>
        <w:t xml:space="preserve"> балла из 5.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hd w:fill="auto" w:val="clear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u w:val="none"/>
          <w:shd w:fill="auto" w:val="clear"/>
          <w:lang w:val="ru-RU" w:eastAsia="zh-CN" w:bidi="ar-SA"/>
        </w:rPr>
        <w:t>- уровень удовлетворенности предпринимательского сообщества качеством предоставления муниципальных услуг. Набрали 3 балла из 5. Положительно отозвались о качестве предоставления муниципальных услуг в Нижневартовске более 92% опрошенных.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u w:val="none"/>
          <w:shd w:fill="auto" w:val="clear"/>
          <w:lang w:val="ru-RU" w:eastAsia="zh-CN" w:bidi="ar-SA"/>
        </w:rPr>
        <w:t>Показатели, по которым не изменился полученный балл: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  <w:u w:val="none"/>
          <w:shd w:fill="auto" w:val="clear"/>
          <w:lang w:val="ru-RU" w:eastAsia="zh-CN" w:bidi="ar-SA"/>
        </w:rPr>
        <w:t>- о</w:t>
      </w:r>
      <w:r>
        <w:rPr>
          <w:rFonts w:eastAsia="Calibri" w:cs="Tinos" w:ascii="Tinos" w:hAnsi="Tinos"/>
          <w:b w:val="false"/>
          <w:bCs w:val="false"/>
          <w:color w:val="000000"/>
          <w:sz w:val="28"/>
          <w:szCs w:val="28"/>
          <w:u w:val="none"/>
          <w:shd w:fill="auto" w:val="clear"/>
          <w:lang w:val="ru-RU" w:eastAsia="zh-CN" w:bidi="ar-SA"/>
        </w:rPr>
        <w:t>ценка предпринимательским сообществом инвестиционного климата муниципального образования. По данному опросному показателю получено 4 балла из 5. Опрос проводится по 7 вопросам,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э</w:t>
      </w:r>
      <w:r>
        <w:rPr>
          <w:rFonts w:cs="Tinos" w:ascii="Tinos" w:hAnsi="Tinos"/>
          <w:sz w:val="28"/>
          <w:szCs w:val="28"/>
        </w:rPr>
        <w:t>ффективность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деятельности. Получено 2 балла из 3,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>- формирование инвестиционных предложений о возможностях и условиях реализации инвестиционных проектов. Получен максимальный балл — 4,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 xml:space="preserve">- 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Получено 2,5 балла из 5. </w:t>
      </w:r>
      <w:r>
        <w:rPr>
          <w:rFonts w:eastAsia="Calibri" w:cs="Tinos" w:ascii="Tinos" w:hAnsi="Tinos"/>
          <w:sz w:val="28"/>
          <w:szCs w:val="28"/>
          <w:lang w:eastAsia="en-US"/>
        </w:rPr>
        <w:t xml:space="preserve">По </w:t>
      </w:r>
      <w:r>
        <w:rPr>
          <w:rFonts w:eastAsia="Calibri" w:cs="Tinos" w:ascii="Tinos" w:hAnsi="Tinos"/>
          <w:color w:val="auto"/>
          <w:sz w:val="28"/>
          <w:szCs w:val="28"/>
          <w:lang w:val="ru-RU" w:eastAsia="en-US" w:bidi="ar-SA"/>
        </w:rPr>
        <w:t>данному показателю Нижневартовск</w:t>
      </w:r>
      <w:r>
        <w:rPr>
          <w:rFonts w:eastAsia="Calibri" w:cs="Tinos" w:ascii="Tinos" w:hAnsi="Tinos"/>
          <w:sz w:val="28"/>
          <w:szCs w:val="28"/>
          <w:lang w:eastAsia="en-US"/>
        </w:rPr>
        <w:t xml:space="preserve"> за 2021 год по-прежнему занимает первое место среди муниципальных образований автономного округа. В 2021 году увеличение показателя на 0,3 п.п. (с 36,1% до 36,4%) обусловлено снижением численности работников крупных и средних предприятий на 2,8% по отношению к 2020 году,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>- доля объема муниципальных закупок у субъектов МСП услуг в сфере предварительных и периодических медицинских осмотров. Получен максимальный балл — 5,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nos" w:hAnsi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 xml:space="preserve">- 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услуг. </w:t>
      </w:r>
      <w:r>
        <w:rPr>
          <w:rFonts w:eastAsia="Calibri" w:cs="Tinos" w:ascii="Tinos" w:hAnsi="Tinos"/>
          <w:b w:val="false"/>
          <w:bCs w:val="false"/>
          <w:color w:val="000000"/>
          <w:sz w:val="28"/>
          <w:szCs w:val="28"/>
          <w:u w:val="none"/>
          <w:shd w:fill="auto" w:val="clear"/>
          <w:lang w:val="ru-RU" w:eastAsia="zh-CN" w:bidi="ar-SA"/>
        </w:rPr>
        <w:t xml:space="preserve">По данному опросному показателю получено 4 балла из 5. </w:t>
      </w:r>
    </w:p>
    <w:p>
      <w:pPr>
        <w:pStyle w:val="Normal"/>
        <w:spacing w:lineRule="atLeast" w:line="0" w:before="0" w:after="0"/>
        <w:ind w:firstLine="708"/>
        <w:jc w:val="both"/>
        <w:rPr>
          <w:rFonts w:ascii="Tinos" w:hAnsi="Tinos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620" w:right="551" w:header="0" w:top="495" w:footer="8" w:bottom="563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nos">
    <w:charset w:val="01"/>
    <w:family w:val="roman"/>
    <w:pitch w:val="variable"/>
  </w:font>
  <w:font w:name="Tino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36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6a85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72e14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226b0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</w:rPr>
  </w:style>
  <w:style w:type="paragraph" w:styleId="3">
    <w:name w:val="Heading 3"/>
    <w:basedOn w:val="Normal"/>
    <w:link w:val="30"/>
    <w:uiPriority w:val="9"/>
    <w:qFormat/>
    <w:rsid w:val="00947b73"/>
    <w:pPr>
      <w:spacing w:lineRule="auto" w:line="240"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"/>
    <w:qFormat/>
    <w:rsid w:val="00947b73"/>
    <w:rPr>
      <w:rFonts w:eastAsia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947b73"/>
    <w:rPr/>
  </w:style>
  <w:style w:type="character" w:styleId="Style11" w:customStyle="1">
    <w:name w:val="Интернет-ссылка"/>
    <w:uiPriority w:val="99"/>
    <w:unhideWhenUsed/>
    <w:rsid w:val="00947b73"/>
    <w:rPr>
      <w:color w:val="0000FF"/>
      <w:u w:val="single"/>
    </w:rPr>
  </w:style>
  <w:style w:type="character" w:styleId="Style12" w:customStyle="1">
    <w:name w:val="Текст выноски Знак"/>
    <w:uiPriority w:val="99"/>
    <w:semiHidden/>
    <w:qFormat/>
    <w:rsid w:val="00a6458d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532a08"/>
    <w:rPr>
      <w:rFonts w:cs="Times New Roman"/>
      <w:b/>
      <w:bCs/>
    </w:rPr>
  </w:style>
  <w:style w:type="character" w:styleId="11" w:customStyle="1">
    <w:name w:val="Заголовок 1 Знак"/>
    <w:link w:val="1"/>
    <w:uiPriority w:val="9"/>
    <w:qFormat/>
    <w:rsid w:val="00072e1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3">
    <w:name w:val="Посещённая гиперссылка"/>
    <w:uiPriority w:val="99"/>
    <w:semiHidden/>
    <w:unhideWhenUsed/>
    <w:qFormat/>
    <w:rsid w:val="007d7bd9"/>
    <w:rPr>
      <w:color w:val="800080"/>
      <w:u w:val="single"/>
    </w:rPr>
  </w:style>
  <w:style w:type="character" w:styleId="Style14" w:customStyle="1">
    <w:name w:val="Верхний колонтитул Знак"/>
    <w:uiPriority w:val="99"/>
    <w:qFormat/>
    <w:rsid w:val="00d376ac"/>
    <w:rPr>
      <w:sz w:val="28"/>
      <w:szCs w:val="28"/>
      <w:lang w:eastAsia="en-US"/>
    </w:rPr>
  </w:style>
  <w:style w:type="character" w:styleId="Style15" w:customStyle="1">
    <w:name w:val="Нижний колонтитул Знак"/>
    <w:uiPriority w:val="99"/>
    <w:qFormat/>
    <w:rsid w:val="00d376ac"/>
    <w:rPr>
      <w:sz w:val="28"/>
      <w:szCs w:val="28"/>
      <w:lang w:eastAsia="en-US"/>
    </w:rPr>
  </w:style>
  <w:style w:type="character" w:styleId="FontStyle42" w:customStyle="1">
    <w:name w:val="Font Style42"/>
    <w:uiPriority w:val="99"/>
    <w:qFormat/>
    <w:rsid w:val="00b17dfe"/>
    <w:rPr>
      <w:rFonts w:ascii="Times New Roman" w:hAnsi="Times New Roman" w:cs="Times New Roman"/>
      <w:sz w:val="24"/>
      <w:szCs w:val="24"/>
    </w:rPr>
  </w:style>
  <w:style w:type="character" w:styleId="Style16" w:customStyle="1">
    <w:name w:val="Без интервала Знак"/>
    <w:uiPriority w:val="1"/>
    <w:qFormat/>
    <w:rsid w:val="00f46c27"/>
    <w:rPr>
      <w:rFonts w:eastAsia="Times New Roman"/>
      <w:sz w:val="24"/>
      <w:szCs w:val="24"/>
      <w:lang w:val="ru-RU" w:eastAsia="ru-RU" w:bidi="ar-SA"/>
    </w:rPr>
  </w:style>
  <w:style w:type="character" w:styleId="Style17">
    <w:name w:val="Выделение"/>
    <w:uiPriority w:val="20"/>
    <w:qFormat/>
    <w:rsid w:val="00513ba3"/>
    <w:rPr>
      <w:i/>
      <w:iCs/>
    </w:rPr>
  </w:style>
  <w:style w:type="character" w:styleId="Style18" w:customStyle="1">
    <w:name w:val="Список Знак"/>
    <w:qFormat/>
    <w:rsid w:val="00b109a0"/>
    <w:rPr>
      <w:rFonts w:eastAsia="Times New Roman"/>
      <w:sz w:val="24"/>
      <w:szCs w:val="24"/>
    </w:rPr>
  </w:style>
  <w:style w:type="character" w:styleId="S" w:customStyle="1">
    <w:name w:val="S_Обычный Знак"/>
    <w:link w:val="S"/>
    <w:qFormat/>
    <w:rsid w:val="00b109a0"/>
    <w:rPr>
      <w:rFonts w:eastAsia="Times New Roman"/>
      <w:sz w:val="24"/>
      <w:szCs w:val="24"/>
      <w:lang w:eastAsia="ar-SA"/>
    </w:rPr>
  </w:style>
  <w:style w:type="character" w:styleId="21" w:customStyle="1">
    <w:name w:val="Заголовок 2 Знак"/>
    <w:link w:val="2"/>
    <w:uiPriority w:val="9"/>
    <w:qFormat/>
    <w:rsid w:val="006226b0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046b3c"/>
    <w:rPr>
      <w:sz w:val="16"/>
      <w:szCs w:val="16"/>
    </w:rPr>
  </w:style>
  <w:style w:type="character" w:styleId="Style19" w:customStyle="1">
    <w:name w:val="Текст примечания Знак"/>
    <w:uiPriority w:val="99"/>
    <w:semiHidden/>
    <w:qFormat/>
    <w:rsid w:val="00046b3c"/>
    <w:rPr>
      <w:lang w:eastAsia="en-US"/>
    </w:rPr>
  </w:style>
  <w:style w:type="character" w:styleId="Style20" w:customStyle="1">
    <w:name w:val="Тема примечания Знак"/>
    <w:uiPriority w:val="99"/>
    <w:semiHidden/>
    <w:qFormat/>
    <w:rsid w:val="00046b3c"/>
    <w:rPr>
      <w:b/>
      <w:bCs/>
      <w:lang w:eastAsia="en-US"/>
    </w:rPr>
  </w:style>
  <w:style w:type="character" w:styleId="A1" w:customStyle="1">
    <w:name w:val="A1"/>
    <w:uiPriority w:val="99"/>
    <w:qFormat/>
    <w:rsid w:val="00046b3c"/>
    <w:rPr>
      <w:rFonts w:cs="PF BeauSans Pro Light"/>
      <w:color w:val="000000"/>
      <w:sz w:val="32"/>
      <w:szCs w:val="32"/>
    </w:rPr>
  </w:style>
  <w:style w:type="character" w:styleId="Style21" w:customStyle="1">
    <w:name w:val="Текст сноски Знак"/>
    <w:uiPriority w:val="99"/>
    <w:qFormat/>
    <w:rsid w:val="00a84c8c"/>
    <w:rPr>
      <w:lang w:eastAsia="en-US"/>
    </w:rPr>
  </w:style>
  <w:style w:type="character" w:styleId="Style2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a84c8c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f57325"/>
    <w:rPr/>
  </w:style>
  <w:style w:type="character" w:styleId="Style23" w:customStyle="1">
    <w:name w:val="Текст концевой сноски Знак"/>
    <w:uiPriority w:val="99"/>
    <w:semiHidden/>
    <w:qFormat/>
    <w:rsid w:val="00934ece"/>
    <w:rPr>
      <w:lang w:eastAsia="en-US"/>
    </w:rPr>
  </w:style>
  <w:style w:type="character" w:styleId="Style24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934ece"/>
    <w:rPr>
      <w:vertAlign w:val="superscript"/>
    </w:rPr>
  </w:style>
  <w:style w:type="character" w:styleId="WW8Num1z4" w:customStyle="1">
    <w:name w:val="WW8Num1z4"/>
    <w:qFormat/>
    <w:rsid w:val="00153c1c"/>
    <w:rPr/>
  </w:style>
  <w:style w:type="character" w:styleId="ConsPlusNormal" w:customStyle="1">
    <w:name w:val="ConsPlusNormal Знак"/>
    <w:link w:val="ConsPlusNormal"/>
    <w:qFormat/>
    <w:locked/>
    <w:rsid w:val="00857fe0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821e93"/>
    <w:rPr/>
  </w:style>
  <w:style w:type="character" w:styleId="WW8Num3z0" w:customStyle="1">
    <w:name w:val="WW8Num3z0"/>
    <w:qFormat/>
    <w:rPr>
      <w:sz w:val="22"/>
      <w:szCs w:val="22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Normal"/>
    <w:rsid w:val="00b109a0"/>
    <w:pPr>
      <w:spacing w:lineRule="auto" w:line="360" w:before="0" w:after="0"/>
      <w:jc w:val="both"/>
    </w:pPr>
    <w:rPr>
      <w:rFonts w:eastAsia="Times New Roman"/>
      <w:sz w:val="24"/>
      <w:szCs w:val="24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30">
    <w:name w:val="Title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Droid Sans Fallback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Formattext" w:customStyle="1">
    <w:name w:val="formattext"/>
    <w:basedOn w:val="Normal"/>
    <w:qFormat/>
    <w:rsid w:val="00947b73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ConsPlusNormal1" w:customStyle="1">
    <w:name w:val="ConsPlusNormal"/>
    <w:qFormat/>
    <w:rsid w:val="00e56eb8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458d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24ca7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Default" w:customStyle="1">
    <w:name w:val="Default"/>
    <w:qFormat/>
    <w:rsid w:val="00dd7106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22" w:customStyle="1">
    <w:name w:val="Знак2 Знак Знак Знак Знак Знак Знак"/>
    <w:basedOn w:val="Normal"/>
    <w:qFormat/>
    <w:rsid w:val="00a71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d376a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uiPriority w:val="99"/>
    <w:unhideWhenUsed/>
    <w:rsid w:val="00d376a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next w:val="Normal"/>
    <w:uiPriority w:val="39"/>
    <w:unhideWhenUsed/>
    <w:qFormat/>
    <w:rsid w:val="00b17dfe"/>
    <w:pPr>
      <w:keepLines/>
      <w:spacing w:before="480" w:after="0"/>
    </w:pPr>
    <w:rPr>
      <w:color w:val="365F91"/>
      <w:kern w:val="0"/>
      <w:sz w:val="28"/>
      <w:szCs w:val="28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870265"/>
    <w:pPr>
      <w:tabs>
        <w:tab w:val="clear" w:pos="367"/>
        <w:tab w:val="left" w:pos="440" w:leader="none"/>
        <w:tab w:val="right" w:pos="9498" w:leader="dot"/>
      </w:tabs>
      <w:spacing w:lineRule="auto" w:line="240" w:before="120" w:after="120"/>
      <w:jc w:val="both"/>
    </w:pPr>
    <w:rPr>
      <w:rFonts w:eastAsia="Times New Roman"/>
      <w:b/>
      <w:sz w:val="24"/>
      <w:szCs w:val="24"/>
      <w:lang w:eastAsia="ru-RU"/>
    </w:rPr>
  </w:style>
  <w:style w:type="paragraph" w:styleId="23">
    <w:name w:val="TOC 2"/>
    <w:basedOn w:val="Normal"/>
    <w:next w:val="Normal"/>
    <w:autoRedefine/>
    <w:uiPriority w:val="39"/>
    <w:unhideWhenUsed/>
    <w:qFormat/>
    <w:rsid w:val="00b17dfe"/>
    <w:pPr>
      <w:tabs>
        <w:tab w:val="clear" w:pos="367"/>
        <w:tab w:val="left" w:pos="851" w:leader="none"/>
        <w:tab w:val="right" w:pos="9498" w:leader="dot"/>
      </w:tabs>
      <w:spacing w:lineRule="auto" w:line="240" w:before="0" w:after="0"/>
      <w:ind w:left="426" w:hanging="0"/>
    </w:pPr>
    <w:rPr>
      <w:rFonts w:eastAsia="Times New Roman"/>
      <w:sz w:val="24"/>
      <w:szCs w:val="24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rsid w:val="00b17dfe"/>
    <w:pPr>
      <w:tabs>
        <w:tab w:val="clear" w:pos="367"/>
        <w:tab w:val="left" w:pos="426" w:leader="none"/>
        <w:tab w:val="left" w:pos="1320" w:leader="none"/>
        <w:tab w:val="right" w:pos="9486" w:leader="dot"/>
      </w:tabs>
      <w:spacing w:lineRule="auto" w:line="360" w:before="0" w:after="100"/>
      <w:ind w:left="426" w:hanging="0"/>
    </w:pPr>
    <w:rPr>
      <w:rFonts w:eastAsia="Times New Roman"/>
      <w:i/>
      <w:sz w:val="24"/>
      <w:szCs w:val="24"/>
      <w:lang w:eastAsia="ru-RU"/>
    </w:rPr>
  </w:style>
  <w:style w:type="paragraph" w:styleId="NoSpacing">
    <w:name w:val="No Spacing"/>
    <w:uiPriority w:val="1"/>
    <w:qFormat/>
    <w:rsid w:val="00f46c27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b58f1"/>
    <w:pPr>
      <w:spacing w:lineRule="auto" w:line="240" w:before="0" w:after="0"/>
      <w:ind w:left="720" w:hanging="0"/>
      <w:contextualSpacing/>
    </w:pPr>
    <w:rPr>
      <w:rFonts w:eastAsia="Times New Roman"/>
      <w:sz w:val="24"/>
      <w:szCs w:val="24"/>
      <w:lang w:eastAsia="ru-RU"/>
    </w:rPr>
  </w:style>
  <w:style w:type="paragraph" w:styleId="S1" w:customStyle="1">
    <w:name w:val="S_Обычный"/>
    <w:basedOn w:val="Normal"/>
    <w:qFormat/>
    <w:rsid w:val="00b109a0"/>
    <w:pPr>
      <w:spacing w:lineRule="auto" w:line="360" w:before="0" w:after="0"/>
      <w:ind w:firstLine="737"/>
      <w:jc w:val="both"/>
    </w:pPr>
    <w:rPr>
      <w:rFonts w:eastAsia="Times New Roman"/>
      <w:sz w:val="24"/>
      <w:szCs w:val="24"/>
      <w:lang w:eastAsia="ar-SA"/>
    </w:rPr>
  </w:style>
  <w:style w:type="paragraph" w:styleId="Annotationtext">
    <w:name w:val="annotation text"/>
    <w:basedOn w:val="Normal"/>
    <w:uiPriority w:val="99"/>
    <w:semiHidden/>
    <w:unhideWhenUsed/>
    <w:qFormat/>
    <w:rsid w:val="00046b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46b3c"/>
    <w:pPr/>
    <w:rPr>
      <w:b/>
      <w:bCs/>
    </w:rPr>
  </w:style>
  <w:style w:type="paragraph" w:styleId="Style34">
    <w:name w:val="Footnote Text"/>
    <w:basedOn w:val="Normal"/>
    <w:uiPriority w:val="99"/>
    <w:unhideWhenUsed/>
    <w:rsid w:val="00a84c8c"/>
    <w:pPr/>
    <w:rPr>
      <w:sz w:val="20"/>
      <w:szCs w:val="20"/>
    </w:rPr>
  </w:style>
  <w:style w:type="paragraph" w:styleId="211" w:customStyle="1">
    <w:name w:val="Знак2 Знак Знак Знак Знак Знак Знак1"/>
    <w:basedOn w:val="Normal"/>
    <w:qFormat/>
    <w:rsid w:val="0005691e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Style35">
    <w:name w:val="Endnote Text"/>
    <w:basedOn w:val="Normal"/>
    <w:uiPriority w:val="99"/>
    <w:semiHidden/>
    <w:unhideWhenUsed/>
    <w:rsid w:val="00934ece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c106e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2">
    <w:name w:val="Сетка таблицы светлая1"/>
    <w:basedOn w:val="a1"/>
    <w:uiPriority w:val="40"/>
    <w:rsid w:val="0005691e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-25">
    <w:name w:val="List Table 2 Accent 5"/>
    <w:basedOn w:val="a1"/>
    <w:uiPriority w:val="47"/>
    <w:rsid w:val="00031a70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5">
    <w:name w:val="List Table 4 Accent 5"/>
    <w:basedOn w:val="a1"/>
    <w:uiPriority w:val="49"/>
    <w:rsid w:val="00031a70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List Table 4 Accent 1"/>
    <w:basedOn w:val="a1"/>
    <w:uiPriority w:val="49"/>
    <w:rsid w:val="00031a7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5">
    <w:name w:val="Grid Table 6 Colorful Accent 5"/>
    <w:basedOn w:val="a1"/>
    <w:uiPriority w:val="51"/>
    <w:rsid w:val="00031a70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E56B-A73E-4F4C-A5B6-51664D4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Application>LibreOffice/7.0.1.2$Linux_X86_64 LibreOffice_project/00$Build-2</Application>
  <Pages>4</Pages>
  <Words>1394</Words>
  <Characters>9313</Characters>
  <CharactersWithSpaces>10684</CharactersWithSpaces>
  <Paragraphs>43</Paragraphs>
  <Company>adm. n-vartovsk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2020-08-19T04:36:00Z</dcterms:created>
  <dc:creator>Тельманова Т.П.</dc:creator>
  <dc:description/>
  <dc:language>ru-RU</dc:language>
  <cp:lastModifiedBy/>
  <cp:lastPrinted>2022-08-23T12:38:12Z</cp:lastPrinted>
  <dcterms:modified xsi:type="dcterms:W3CDTF">2022-08-23T14:09:11Z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adm. n-vartovsk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