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56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7264CF" wp14:editId="14922BD9">
            <wp:extent cx="60960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E56C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Контрольно-счетный орган муниципального образования -</w:t>
      </w: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E56C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СЧЕТНАЯ ПАЛАТА ГОРОДА НИЖНЕВАРТОВСКА</w:t>
      </w: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DE56C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СТАНДАРТ ВНЕШНЕГО МУНИЦИПАЛЬНОГО ФИНАНСОВОГО КОНТРОЛЯ</w:t>
      </w: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E56C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ПРОВЕРКА И АНАЛИЗ</w:t>
      </w:r>
    </w:p>
    <w:p w:rsid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E56C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ЭФФЕКТИВНОСТИ ВНУТРЕННЕГО ФИНАНСОВОГО АУДИТА</w:t>
      </w:r>
    </w:p>
    <w:p w:rsid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56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к распоряжению</w:t>
      </w:r>
    </w:p>
    <w:p w:rsidR="00DE56C5" w:rsidRPr="00DE56C5" w:rsidRDefault="00DE56C5" w:rsidP="00DE56C5">
      <w:pPr>
        <w:spacing w:after="0" w:line="240" w:lineRule="auto"/>
        <w:ind w:left="5" w:hanging="5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56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Счетной палаты города Нижневартовска </w:t>
      </w:r>
    </w:p>
    <w:p w:rsidR="00DE56C5" w:rsidRPr="00911102" w:rsidRDefault="00911102" w:rsidP="00DE56C5">
      <w:pPr>
        <w:spacing w:after="0" w:line="240" w:lineRule="auto"/>
        <w:ind w:left="5" w:hanging="5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9111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от «14» февраля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2022</w:t>
      </w:r>
      <w:r w:rsidR="00DE56C5" w:rsidRPr="009111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года </w:t>
      </w:r>
      <w:r w:rsidR="00885F21" w:rsidRPr="009111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 w:rsidR="00331D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9111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18</w:t>
      </w:r>
    </w:p>
    <w:p w:rsidR="00DE56C5" w:rsidRDefault="00DE56C5" w:rsidP="00DE56C5">
      <w:pPr>
        <w:spacing w:after="0" w:line="240" w:lineRule="auto"/>
        <w:ind w:left="5" w:hanging="5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91110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начало действия: с </w:t>
      </w:r>
      <w:r w:rsidR="00935AED" w:rsidRPr="0091110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15</w:t>
      </w:r>
      <w:r w:rsidRPr="0091110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.0</w:t>
      </w:r>
      <w:r w:rsidR="00935AED" w:rsidRPr="0091110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Pr="0091110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.2022</w:t>
      </w:r>
    </w:p>
    <w:p w:rsidR="009B701D" w:rsidRPr="00DE56C5" w:rsidRDefault="009B701D" w:rsidP="00DE56C5">
      <w:pPr>
        <w:spacing w:after="0" w:line="240" w:lineRule="auto"/>
        <w:ind w:left="5" w:hanging="5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(с изменениями от </w:t>
      </w:r>
      <w:r w:rsidR="001736A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22.12.2023 № 97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)</w:t>
      </w: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56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г. Нижневартовск</w:t>
      </w:r>
      <w:r w:rsidR="009111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2022</w:t>
      </w:r>
      <w:r w:rsidRPr="009111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</w:t>
      </w: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56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 w:type="page"/>
      </w: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56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СОДЕРЖАНИЕ</w:t>
      </w: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526"/>
        <w:gridCol w:w="8108"/>
      </w:tblGrid>
      <w:tr w:rsidR="00DE56C5" w:rsidRPr="00DE56C5" w:rsidTr="000C0FFE">
        <w:tc>
          <w:tcPr>
            <w:tcW w:w="1526" w:type="dxa"/>
          </w:tcPr>
          <w:p w:rsidR="00DE56C5" w:rsidRPr="00DE56C5" w:rsidRDefault="00885F21" w:rsidP="00996DC8">
            <w:pPr>
              <w:ind w:left="5" w:hanging="5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№</w:t>
            </w:r>
            <w:r w:rsidR="00DE56C5" w:rsidRPr="00DE56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раздела/</w:t>
            </w:r>
            <w:r w:rsidR="00996D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8108" w:type="dxa"/>
          </w:tcPr>
          <w:p w:rsidR="00DE56C5" w:rsidRPr="00DE56C5" w:rsidRDefault="00DE56C5" w:rsidP="00996DC8">
            <w:pPr>
              <w:ind w:left="5" w:hanging="5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6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Наименование раздела</w:t>
            </w:r>
          </w:p>
        </w:tc>
      </w:tr>
      <w:tr w:rsidR="00DE56C5" w:rsidRPr="00DE56C5" w:rsidTr="000C0FFE">
        <w:tc>
          <w:tcPr>
            <w:tcW w:w="1526" w:type="dxa"/>
          </w:tcPr>
          <w:p w:rsidR="00DE56C5" w:rsidRPr="00DE56C5" w:rsidRDefault="00DE56C5" w:rsidP="00DE56C5">
            <w:pPr>
              <w:ind w:left="5" w:hanging="5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6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8" w:type="dxa"/>
          </w:tcPr>
          <w:p w:rsidR="00DE56C5" w:rsidRPr="00DE56C5" w:rsidRDefault="00DE56C5" w:rsidP="00733ADD">
            <w:pPr>
              <w:ind w:left="5" w:hanging="5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6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Общие положения</w:t>
            </w:r>
          </w:p>
        </w:tc>
      </w:tr>
      <w:tr w:rsidR="00DE56C5" w:rsidRPr="00DE56C5" w:rsidTr="000C0FFE">
        <w:trPr>
          <w:trHeight w:val="328"/>
        </w:trPr>
        <w:tc>
          <w:tcPr>
            <w:tcW w:w="1526" w:type="dxa"/>
          </w:tcPr>
          <w:p w:rsidR="00DE56C5" w:rsidRPr="00DE56C5" w:rsidRDefault="00DE56C5" w:rsidP="00DE56C5">
            <w:pPr>
              <w:ind w:left="5" w:hanging="5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E56C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8" w:type="dxa"/>
          </w:tcPr>
          <w:p w:rsidR="00DE56C5" w:rsidRPr="00DE56C5" w:rsidRDefault="00996DC8" w:rsidP="00733ADD">
            <w:pPr>
              <w:ind w:left="5" w:hanging="5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96D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Содержание внутреннего финансового аудита</w:t>
            </w:r>
          </w:p>
        </w:tc>
      </w:tr>
      <w:tr w:rsidR="00DE56C5" w:rsidRPr="00DE56C5" w:rsidTr="000C0FFE">
        <w:trPr>
          <w:trHeight w:val="328"/>
        </w:trPr>
        <w:tc>
          <w:tcPr>
            <w:tcW w:w="1526" w:type="dxa"/>
          </w:tcPr>
          <w:p w:rsidR="00DE56C5" w:rsidRPr="00DE56C5" w:rsidRDefault="00996DC8" w:rsidP="00DE56C5">
            <w:pPr>
              <w:ind w:left="5" w:hanging="5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8" w:type="dxa"/>
          </w:tcPr>
          <w:p w:rsidR="00DE56C5" w:rsidRPr="00DE56C5" w:rsidRDefault="00996DC8" w:rsidP="00733ADD">
            <w:pPr>
              <w:ind w:left="5" w:hanging="5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96D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Предмет, цели, задачи проверки и анализа эффективности</w:t>
            </w:r>
            <w:r w:rsidR="00733AD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996D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внутреннего финансового аудита</w:t>
            </w:r>
          </w:p>
        </w:tc>
      </w:tr>
      <w:tr w:rsidR="00DE56C5" w:rsidRPr="00DE56C5" w:rsidTr="000C0FFE">
        <w:tc>
          <w:tcPr>
            <w:tcW w:w="1526" w:type="dxa"/>
          </w:tcPr>
          <w:p w:rsidR="00DE56C5" w:rsidRPr="00DE56C5" w:rsidRDefault="00996DC8" w:rsidP="00DE56C5">
            <w:pPr>
              <w:ind w:left="5" w:hanging="5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8" w:type="dxa"/>
          </w:tcPr>
          <w:p w:rsidR="00DE56C5" w:rsidRPr="00DE56C5" w:rsidRDefault="00996DC8" w:rsidP="00733ADD">
            <w:pPr>
              <w:ind w:left="5" w:hanging="5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96D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Подготовка к проведению проверки и анализа эффективности</w:t>
            </w:r>
            <w:r w:rsidR="00733AD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996D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внутреннего финансового аудита</w:t>
            </w:r>
          </w:p>
        </w:tc>
      </w:tr>
      <w:tr w:rsidR="00DE56C5" w:rsidRPr="00DE56C5" w:rsidTr="000C0FFE">
        <w:tc>
          <w:tcPr>
            <w:tcW w:w="1526" w:type="dxa"/>
          </w:tcPr>
          <w:p w:rsidR="00DE56C5" w:rsidRPr="00DE56C5" w:rsidRDefault="00996DC8" w:rsidP="00DE56C5">
            <w:pPr>
              <w:ind w:left="5" w:hanging="5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08" w:type="dxa"/>
          </w:tcPr>
          <w:p w:rsidR="00DE56C5" w:rsidRPr="00DE56C5" w:rsidRDefault="00996DC8" w:rsidP="00733ADD">
            <w:pPr>
              <w:ind w:left="5" w:hanging="5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96D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Проверка и анализ эффективности внутреннего</w:t>
            </w:r>
            <w:r w:rsidR="00733AD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996D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финансового аудита</w:t>
            </w:r>
          </w:p>
        </w:tc>
      </w:tr>
      <w:tr w:rsidR="00DE56C5" w:rsidRPr="00DE56C5" w:rsidTr="000C0FFE">
        <w:tc>
          <w:tcPr>
            <w:tcW w:w="1526" w:type="dxa"/>
          </w:tcPr>
          <w:p w:rsidR="00DE56C5" w:rsidRPr="00DE56C5" w:rsidRDefault="00996DC8" w:rsidP="00DE56C5">
            <w:pPr>
              <w:ind w:left="5" w:hanging="5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08" w:type="dxa"/>
          </w:tcPr>
          <w:p w:rsidR="00DE56C5" w:rsidRPr="00DE56C5" w:rsidRDefault="00996DC8" w:rsidP="00733ADD">
            <w:pPr>
              <w:ind w:left="5" w:hanging="5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96D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Заключительные положения</w:t>
            </w:r>
          </w:p>
        </w:tc>
      </w:tr>
      <w:tr w:rsidR="00996DC8" w:rsidRPr="00DE56C5" w:rsidTr="00687CE2">
        <w:tc>
          <w:tcPr>
            <w:tcW w:w="9634" w:type="dxa"/>
            <w:gridSpan w:val="2"/>
          </w:tcPr>
          <w:p w:rsidR="00996DC8" w:rsidRPr="00996DC8" w:rsidRDefault="00996DC8" w:rsidP="00331D0A">
            <w:pPr>
              <w:ind w:left="5" w:hanging="5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Приложение №</w:t>
            </w:r>
            <w:r w:rsidR="00331D0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996DC8" w:rsidRPr="00DE56C5" w:rsidTr="00687CE2">
        <w:tc>
          <w:tcPr>
            <w:tcW w:w="9634" w:type="dxa"/>
            <w:gridSpan w:val="2"/>
          </w:tcPr>
          <w:p w:rsidR="00996DC8" w:rsidRPr="00996DC8" w:rsidRDefault="00996DC8" w:rsidP="00331D0A">
            <w:pPr>
              <w:ind w:left="5" w:hanging="5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Приложение №</w:t>
            </w:r>
            <w:r w:rsidR="00331D0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996DC8" w:rsidRPr="00DE56C5" w:rsidTr="00687CE2">
        <w:tc>
          <w:tcPr>
            <w:tcW w:w="9634" w:type="dxa"/>
            <w:gridSpan w:val="2"/>
          </w:tcPr>
          <w:p w:rsidR="00996DC8" w:rsidRPr="00996DC8" w:rsidRDefault="00996DC8" w:rsidP="00331D0A">
            <w:pPr>
              <w:ind w:left="5" w:hanging="5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Приложение №</w:t>
            </w:r>
            <w:r w:rsidR="00331D0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</w:tr>
    </w:tbl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E56C5" w:rsidRPr="00DE56C5" w:rsidRDefault="00DE56C5" w:rsidP="00DE56C5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3018B" w:rsidRDefault="0003018B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 w:type="page"/>
      </w:r>
    </w:p>
    <w:p w:rsidR="0003018B" w:rsidRPr="0003018B" w:rsidRDefault="0003018B" w:rsidP="00A64FED">
      <w:pPr>
        <w:pStyle w:val="Default"/>
        <w:pageBreakBefore/>
        <w:ind w:firstLine="709"/>
        <w:jc w:val="center"/>
        <w:rPr>
          <w:b/>
          <w:color w:val="auto"/>
          <w:sz w:val="28"/>
          <w:szCs w:val="28"/>
        </w:rPr>
      </w:pPr>
      <w:r w:rsidRPr="0003018B">
        <w:rPr>
          <w:b/>
          <w:color w:val="auto"/>
          <w:sz w:val="28"/>
          <w:szCs w:val="28"/>
        </w:rPr>
        <w:t>1.</w:t>
      </w:r>
      <w:r w:rsidR="00331D0A">
        <w:rPr>
          <w:b/>
          <w:color w:val="auto"/>
          <w:sz w:val="28"/>
          <w:szCs w:val="28"/>
        </w:rPr>
        <w:t> </w:t>
      </w:r>
      <w:r w:rsidRPr="0003018B">
        <w:rPr>
          <w:b/>
          <w:color w:val="auto"/>
          <w:sz w:val="28"/>
          <w:szCs w:val="28"/>
        </w:rPr>
        <w:t>Общие положения</w:t>
      </w:r>
    </w:p>
    <w:p w:rsidR="0003018B" w:rsidRDefault="0003018B" w:rsidP="00A64FE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</w:t>
      </w:r>
      <w:r w:rsidR="00331D0A">
        <w:rPr>
          <w:color w:val="auto"/>
          <w:sz w:val="28"/>
          <w:szCs w:val="28"/>
        </w:rPr>
        <w:t> </w:t>
      </w:r>
      <w:r w:rsidRPr="00DE56C5">
        <w:rPr>
          <w:color w:val="auto"/>
          <w:sz w:val="28"/>
          <w:szCs w:val="28"/>
        </w:rPr>
        <w:t xml:space="preserve">Стандарт внешнего </w:t>
      </w:r>
      <w:r>
        <w:rPr>
          <w:color w:val="auto"/>
          <w:sz w:val="28"/>
          <w:szCs w:val="28"/>
        </w:rPr>
        <w:t>муниципального финансового контроля</w:t>
      </w:r>
      <w:r w:rsidRPr="00DE56C5">
        <w:rPr>
          <w:color w:val="auto"/>
          <w:sz w:val="28"/>
          <w:szCs w:val="28"/>
        </w:rPr>
        <w:t xml:space="preserve"> </w:t>
      </w:r>
      <w:r w:rsidR="00502B5C">
        <w:rPr>
          <w:color w:val="auto"/>
          <w:sz w:val="28"/>
          <w:szCs w:val="28"/>
        </w:rPr>
        <w:t>«Проверка и анализ эффективности внутреннего финансового аудита»</w:t>
      </w:r>
      <w:r w:rsidR="00A64FED">
        <w:rPr>
          <w:color w:val="auto"/>
          <w:sz w:val="28"/>
          <w:szCs w:val="28"/>
        </w:rPr>
        <w:t xml:space="preserve"> (далее – Стандарт)</w:t>
      </w:r>
      <w:r w:rsidR="00502B5C">
        <w:rPr>
          <w:color w:val="auto"/>
          <w:sz w:val="28"/>
          <w:szCs w:val="28"/>
        </w:rPr>
        <w:t xml:space="preserve"> </w:t>
      </w:r>
      <w:r w:rsidRPr="00DE56C5">
        <w:rPr>
          <w:color w:val="auto"/>
          <w:sz w:val="28"/>
          <w:szCs w:val="28"/>
        </w:rPr>
        <w:t>разработан в соответствии с тр</w:t>
      </w:r>
      <w:r>
        <w:rPr>
          <w:color w:val="auto"/>
          <w:sz w:val="28"/>
          <w:szCs w:val="28"/>
        </w:rPr>
        <w:t>ебованиями</w:t>
      </w:r>
      <w:r w:rsidRPr="00D1128C">
        <w:rPr>
          <w:color w:val="auto"/>
          <w:sz w:val="28"/>
          <w:szCs w:val="28"/>
        </w:rPr>
        <w:t xml:space="preserve"> </w:t>
      </w:r>
      <w:r w:rsidRPr="00DE56C5">
        <w:rPr>
          <w:color w:val="auto"/>
          <w:sz w:val="28"/>
          <w:szCs w:val="28"/>
        </w:rPr>
        <w:t xml:space="preserve">Бюджетного кодекса Российской Федерации (далее </w:t>
      </w:r>
      <w:r>
        <w:rPr>
          <w:color w:val="auto"/>
          <w:sz w:val="28"/>
          <w:szCs w:val="28"/>
        </w:rPr>
        <w:t>–</w:t>
      </w:r>
      <w:r w:rsidRPr="00DE56C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БК РФ</w:t>
      </w:r>
      <w:r w:rsidRPr="00DE56C5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, </w:t>
      </w:r>
      <w:r w:rsidR="00935AED">
        <w:rPr>
          <w:color w:val="auto"/>
          <w:sz w:val="28"/>
          <w:szCs w:val="28"/>
        </w:rPr>
        <w:t>Федерального</w:t>
      </w:r>
      <w:r>
        <w:rPr>
          <w:color w:val="auto"/>
          <w:sz w:val="28"/>
          <w:szCs w:val="28"/>
        </w:rPr>
        <w:t xml:space="preserve"> закона </w:t>
      </w:r>
      <w:r w:rsidR="00935AED">
        <w:rPr>
          <w:color w:val="auto"/>
          <w:sz w:val="28"/>
          <w:szCs w:val="28"/>
        </w:rPr>
        <w:t xml:space="preserve">от </w:t>
      </w:r>
      <w:r w:rsidRPr="00DE56C5">
        <w:rPr>
          <w:color w:val="auto"/>
          <w:sz w:val="28"/>
          <w:szCs w:val="28"/>
        </w:rPr>
        <w:t xml:space="preserve">07.02.2011 </w:t>
      </w:r>
      <w:r w:rsidR="00885F21">
        <w:rPr>
          <w:color w:val="auto"/>
          <w:sz w:val="28"/>
          <w:szCs w:val="28"/>
        </w:rPr>
        <w:t>№</w:t>
      </w:r>
      <w:r>
        <w:rPr>
          <w:color w:val="auto"/>
          <w:sz w:val="28"/>
          <w:szCs w:val="28"/>
        </w:rPr>
        <w:t> </w:t>
      </w:r>
      <w:r w:rsidRPr="00DE56C5">
        <w:rPr>
          <w:color w:val="auto"/>
          <w:sz w:val="28"/>
          <w:szCs w:val="28"/>
        </w:rPr>
        <w:t>6-ФЗ</w:t>
      </w:r>
      <w:r>
        <w:rPr>
          <w:color w:val="auto"/>
          <w:sz w:val="28"/>
          <w:szCs w:val="28"/>
        </w:rPr>
        <w:t xml:space="preserve"> «</w:t>
      </w:r>
      <w:r w:rsidRPr="00DE56C5">
        <w:rPr>
          <w:color w:val="auto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 w:rsidR="009D6E03">
        <w:rPr>
          <w:color w:val="auto"/>
          <w:sz w:val="28"/>
          <w:szCs w:val="28"/>
        </w:rPr>
        <w:t>, федеральных территорий</w:t>
      </w:r>
      <w:r w:rsidRPr="00DE56C5">
        <w:rPr>
          <w:color w:val="auto"/>
          <w:sz w:val="28"/>
          <w:szCs w:val="28"/>
        </w:rPr>
        <w:t xml:space="preserve"> и муниципальных образований</w:t>
      </w:r>
      <w:r>
        <w:rPr>
          <w:color w:val="auto"/>
          <w:sz w:val="28"/>
          <w:szCs w:val="28"/>
        </w:rPr>
        <w:t xml:space="preserve">», </w:t>
      </w:r>
      <w:r w:rsidR="00935AED">
        <w:rPr>
          <w:color w:val="auto"/>
          <w:sz w:val="28"/>
          <w:szCs w:val="28"/>
        </w:rPr>
        <w:t>р</w:t>
      </w:r>
      <w:r w:rsidRPr="00D1128C">
        <w:rPr>
          <w:color w:val="auto"/>
          <w:sz w:val="28"/>
          <w:szCs w:val="28"/>
        </w:rPr>
        <w:t xml:space="preserve">ешения Думы города Нижневартовска от 22.09.2021 </w:t>
      </w:r>
      <w:r w:rsidR="00885F21">
        <w:rPr>
          <w:color w:val="auto"/>
          <w:sz w:val="28"/>
          <w:szCs w:val="28"/>
        </w:rPr>
        <w:t>№</w:t>
      </w:r>
      <w:r w:rsidR="009D6E03">
        <w:rPr>
          <w:color w:val="auto"/>
          <w:sz w:val="28"/>
          <w:szCs w:val="28"/>
        </w:rPr>
        <w:t> </w:t>
      </w:r>
      <w:r w:rsidRPr="00D1128C">
        <w:rPr>
          <w:color w:val="auto"/>
          <w:sz w:val="28"/>
          <w:szCs w:val="28"/>
        </w:rPr>
        <w:t>823 «О контрольно-счетном органе муниципального образования-счетной палате города Нижневартовска»</w:t>
      </w:r>
      <w:r>
        <w:rPr>
          <w:color w:val="auto"/>
          <w:sz w:val="28"/>
          <w:szCs w:val="28"/>
        </w:rPr>
        <w:t>,</w:t>
      </w:r>
      <w:r w:rsidRPr="00D1128C">
        <w:rPr>
          <w:color w:val="auto"/>
          <w:sz w:val="28"/>
          <w:szCs w:val="28"/>
        </w:rPr>
        <w:t xml:space="preserve"> Регламента контрольно-счетного органа муниципального образования – счетной палаты города Нижневартовска, утвержденного постановлением Счетной палаты города Нижневартовска от 18.10.2021 </w:t>
      </w:r>
      <w:r w:rsidR="00885F21">
        <w:rPr>
          <w:color w:val="auto"/>
          <w:sz w:val="28"/>
          <w:szCs w:val="28"/>
        </w:rPr>
        <w:t>№</w:t>
      </w:r>
      <w:r w:rsidR="009D6E03">
        <w:rPr>
          <w:color w:val="auto"/>
          <w:sz w:val="28"/>
          <w:szCs w:val="28"/>
        </w:rPr>
        <w:t> 11.</w:t>
      </w:r>
    </w:p>
    <w:p w:rsidR="009D6E03" w:rsidRPr="009D6E03" w:rsidRDefault="009D6E03" w:rsidP="00A64FED">
      <w:pPr>
        <w:pStyle w:val="Default"/>
        <w:ind w:firstLine="709"/>
        <w:jc w:val="both"/>
        <w:rPr>
          <w:i/>
          <w:color w:val="auto"/>
          <w:szCs w:val="28"/>
        </w:rPr>
      </w:pPr>
      <w:r w:rsidRPr="002D3817">
        <w:rPr>
          <w:i/>
          <w:color w:val="auto"/>
          <w:szCs w:val="28"/>
        </w:rPr>
        <w:t>(пункт 1.1 в редакции распоряжения Счетной палаты города от 2</w:t>
      </w:r>
      <w:r w:rsidR="00EC16D6" w:rsidRPr="002D3817">
        <w:rPr>
          <w:i/>
          <w:color w:val="auto"/>
          <w:szCs w:val="28"/>
        </w:rPr>
        <w:t>2</w:t>
      </w:r>
      <w:r w:rsidRPr="002D3817">
        <w:rPr>
          <w:i/>
          <w:color w:val="auto"/>
          <w:szCs w:val="28"/>
        </w:rPr>
        <w:t>.12.202</w:t>
      </w:r>
      <w:r w:rsidR="00EC16D6" w:rsidRPr="002D3817">
        <w:rPr>
          <w:i/>
          <w:color w:val="auto"/>
          <w:szCs w:val="28"/>
        </w:rPr>
        <w:t>3</w:t>
      </w:r>
      <w:r w:rsidRPr="002D3817">
        <w:rPr>
          <w:i/>
          <w:color w:val="auto"/>
          <w:szCs w:val="28"/>
        </w:rPr>
        <w:t xml:space="preserve"> № </w:t>
      </w:r>
      <w:r w:rsidR="00EC16D6" w:rsidRPr="002D3817">
        <w:rPr>
          <w:i/>
          <w:color w:val="auto"/>
          <w:szCs w:val="28"/>
        </w:rPr>
        <w:t>97)</w:t>
      </w:r>
    </w:p>
    <w:p w:rsidR="0003018B" w:rsidRDefault="0003018B" w:rsidP="00A64FE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1.2.</w:t>
      </w:r>
      <w:r w:rsidR="00331D0A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При разработке Стандарта учтены положения: </w:t>
      </w:r>
    </w:p>
    <w:p w:rsidR="0003018B" w:rsidRPr="00D1128C" w:rsidRDefault="009D6E03" w:rsidP="00A64FE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D6E03">
        <w:rPr>
          <w:color w:val="auto"/>
          <w:sz w:val="28"/>
          <w:szCs w:val="28"/>
        </w:rPr>
        <w:t>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субъектами Российской Федерации и муниципальных образований, утвержденными постановлением Коллегии Счетной палаты Российской Федерации от 29.03.2022 № 2ПК</w:t>
      </w:r>
      <w:r w:rsidR="0003018B" w:rsidRPr="00D1128C">
        <w:rPr>
          <w:color w:val="auto"/>
          <w:sz w:val="28"/>
          <w:szCs w:val="28"/>
        </w:rPr>
        <w:t>;</w:t>
      </w:r>
    </w:p>
    <w:p w:rsidR="009D6E03" w:rsidRPr="009D6E03" w:rsidRDefault="009D6E03" w:rsidP="009D6E03">
      <w:pPr>
        <w:pStyle w:val="Default"/>
        <w:ind w:firstLine="709"/>
        <w:jc w:val="both"/>
        <w:rPr>
          <w:i/>
          <w:color w:val="auto"/>
          <w:szCs w:val="28"/>
        </w:rPr>
      </w:pPr>
      <w:r w:rsidRPr="002D3817">
        <w:rPr>
          <w:i/>
          <w:color w:val="auto"/>
          <w:szCs w:val="28"/>
        </w:rPr>
        <w:t>(абзац второй пункта 1.2 в редакции распоряжения Счетной палаты города от 2</w:t>
      </w:r>
      <w:r w:rsidR="00EC16D6" w:rsidRPr="002D3817">
        <w:rPr>
          <w:i/>
          <w:color w:val="auto"/>
          <w:szCs w:val="28"/>
        </w:rPr>
        <w:t>2</w:t>
      </w:r>
      <w:r w:rsidRPr="002D3817">
        <w:rPr>
          <w:i/>
          <w:color w:val="auto"/>
          <w:szCs w:val="28"/>
        </w:rPr>
        <w:t>.12.202</w:t>
      </w:r>
      <w:r w:rsidR="00EC16D6" w:rsidRPr="002D3817">
        <w:rPr>
          <w:i/>
          <w:color w:val="auto"/>
          <w:szCs w:val="28"/>
        </w:rPr>
        <w:t>3</w:t>
      </w:r>
      <w:r w:rsidRPr="002D3817">
        <w:rPr>
          <w:i/>
          <w:color w:val="auto"/>
          <w:szCs w:val="28"/>
        </w:rPr>
        <w:t xml:space="preserve"> № </w:t>
      </w:r>
      <w:r w:rsidR="00EC16D6" w:rsidRPr="002D3817">
        <w:rPr>
          <w:i/>
          <w:color w:val="auto"/>
          <w:szCs w:val="28"/>
        </w:rPr>
        <w:t>97</w:t>
      </w:r>
      <w:r w:rsidRPr="002D3817">
        <w:rPr>
          <w:i/>
          <w:color w:val="auto"/>
          <w:szCs w:val="28"/>
        </w:rPr>
        <w:t>)</w:t>
      </w:r>
      <w:bookmarkStart w:id="0" w:name="_GoBack"/>
      <w:bookmarkEnd w:id="0"/>
    </w:p>
    <w:p w:rsidR="0003018B" w:rsidRDefault="0003018B" w:rsidP="009D6E0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Pr="00D1128C">
        <w:rPr>
          <w:color w:val="auto"/>
          <w:sz w:val="28"/>
          <w:szCs w:val="28"/>
        </w:rPr>
        <w:t>СГА</w:t>
      </w:r>
      <w:r w:rsidR="00331D0A">
        <w:rPr>
          <w:color w:val="auto"/>
          <w:sz w:val="28"/>
          <w:szCs w:val="28"/>
        </w:rPr>
        <w:t> </w:t>
      </w:r>
      <w:r w:rsidRPr="00D1128C">
        <w:rPr>
          <w:color w:val="auto"/>
          <w:sz w:val="28"/>
          <w:szCs w:val="28"/>
        </w:rPr>
        <w:t>311. Стандарт внешнего государственного аудита (контроля). Проверка и анализ эффективности внутреннего финансового аудита</w:t>
      </w:r>
      <w:r>
        <w:rPr>
          <w:color w:val="auto"/>
          <w:sz w:val="28"/>
          <w:szCs w:val="28"/>
        </w:rPr>
        <w:t xml:space="preserve">», утвержденного </w:t>
      </w:r>
      <w:r w:rsidRPr="00D1128C">
        <w:rPr>
          <w:color w:val="auto"/>
          <w:sz w:val="28"/>
          <w:szCs w:val="28"/>
        </w:rPr>
        <w:t xml:space="preserve">постановлением Коллегии Счетной палаты РФ от 27.04.2017 </w:t>
      </w:r>
      <w:r w:rsidR="00502B5C">
        <w:rPr>
          <w:color w:val="auto"/>
          <w:sz w:val="28"/>
          <w:szCs w:val="28"/>
        </w:rPr>
        <w:t>№</w:t>
      </w:r>
      <w:r w:rsidRPr="00D1128C">
        <w:rPr>
          <w:color w:val="auto"/>
          <w:sz w:val="28"/>
          <w:szCs w:val="28"/>
        </w:rPr>
        <w:t xml:space="preserve"> 4ПК</w:t>
      </w:r>
      <w:r w:rsidR="00A64FED">
        <w:rPr>
          <w:color w:val="auto"/>
          <w:sz w:val="28"/>
          <w:szCs w:val="28"/>
        </w:rPr>
        <w:t>.</w:t>
      </w:r>
    </w:p>
    <w:p w:rsidR="000A4D0A" w:rsidRDefault="000A4D0A" w:rsidP="00A64FED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0A4D0A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>3</w:t>
      </w:r>
      <w:r w:rsidRPr="000A4D0A">
        <w:rPr>
          <w:color w:val="auto"/>
          <w:sz w:val="28"/>
          <w:szCs w:val="28"/>
        </w:rPr>
        <w:t>.</w:t>
      </w:r>
      <w:r w:rsidR="00331D0A">
        <w:rPr>
          <w:color w:val="auto"/>
          <w:sz w:val="28"/>
          <w:szCs w:val="28"/>
        </w:rPr>
        <w:t> </w:t>
      </w:r>
      <w:r w:rsidRPr="000A4D0A">
        <w:rPr>
          <w:color w:val="auto"/>
          <w:sz w:val="28"/>
          <w:szCs w:val="28"/>
        </w:rPr>
        <w:t xml:space="preserve">Стандарт предназначен для методологического обеспечения реализации функции </w:t>
      </w:r>
      <w:r>
        <w:rPr>
          <w:color w:val="auto"/>
          <w:sz w:val="28"/>
          <w:szCs w:val="28"/>
        </w:rPr>
        <w:t xml:space="preserve">контрольно-счетного органа муниципального образования -счетной палатой города Нижневартовск (далее </w:t>
      </w:r>
      <w:r w:rsidR="00A64FED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Pr="000A4D0A">
        <w:rPr>
          <w:color w:val="auto"/>
          <w:sz w:val="28"/>
          <w:szCs w:val="28"/>
        </w:rPr>
        <w:t>Счетн</w:t>
      </w:r>
      <w:r>
        <w:rPr>
          <w:color w:val="auto"/>
          <w:sz w:val="28"/>
          <w:szCs w:val="28"/>
        </w:rPr>
        <w:t>ая</w:t>
      </w:r>
      <w:r w:rsidRPr="000A4D0A">
        <w:rPr>
          <w:color w:val="auto"/>
          <w:sz w:val="28"/>
          <w:szCs w:val="28"/>
        </w:rPr>
        <w:t xml:space="preserve"> палат</w:t>
      </w:r>
      <w:r>
        <w:rPr>
          <w:color w:val="auto"/>
          <w:sz w:val="28"/>
          <w:szCs w:val="28"/>
        </w:rPr>
        <w:t>а)</w:t>
      </w:r>
      <w:r w:rsidRPr="000A4D0A">
        <w:rPr>
          <w:color w:val="auto"/>
          <w:sz w:val="28"/>
          <w:szCs w:val="28"/>
        </w:rPr>
        <w:t xml:space="preserve"> по проверке и анализу эффективности внутреннего </w:t>
      </w:r>
      <w:r w:rsidR="00C52FF1">
        <w:rPr>
          <w:color w:val="auto"/>
          <w:sz w:val="28"/>
          <w:szCs w:val="28"/>
        </w:rPr>
        <w:t xml:space="preserve">финансового </w:t>
      </w:r>
      <w:r w:rsidRPr="000A4D0A">
        <w:rPr>
          <w:color w:val="auto"/>
          <w:sz w:val="28"/>
          <w:szCs w:val="28"/>
        </w:rPr>
        <w:t>аудита</w:t>
      </w:r>
      <w:r w:rsidR="00C52FF1">
        <w:rPr>
          <w:color w:val="auto"/>
          <w:sz w:val="28"/>
          <w:szCs w:val="28"/>
        </w:rPr>
        <w:t xml:space="preserve"> (далее также – ВФА)</w:t>
      </w:r>
      <w:r w:rsidRPr="000A4D0A">
        <w:rPr>
          <w:color w:val="auto"/>
          <w:sz w:val="28"/>
          <w:szCs w:val="28"/>
        </w:rPr>
        <w:t xml:space="preserve">, осуществляемого главными распорядителями (распорядителями) средств бюджета </w:t>
      </w:r>
      <w:r>
        <w:rPr>
          <w:color w:val="auto"/>
          <w:sz w:val="28"/>
          <w:szCs w:val="28"/>
        </w:rPr>
        <w:t>города</w:t>
      </w:r>
      <w:r w:rsidRPr="000A4D0A">
        <w:rPr>
          <w:color w:val="auto"/>
          <w:sz w:val="28"/>
          <w:szCs w:val="28"/>
        </w:rPr>
        <w:t>, главными администраторами (администраторами) доходов бюджета</w:t>
      </w:r>
      <w:r>
        <w:rPr>
          <w:color w:val="auto"/>
          <w:sz w:val="28"/>
          <w:szCs w:val="28"/>
        </w:rPr>
        <w:t xml:space="preserve"> города</w:t>
      </w:r>
      <w:r w:rsidRPr="000A4D0A">
        <w:rPr>
          <w:color w:val="auto"/>
          <w:sz w:val="28"/>
          <w:szCs w:val="28"/>
        </w:rPr>
        <w:t>, главными администраторами (администраторами) источников финансирования дефицита бюджета</w:t>
      </w:r>
      <w:r>
        <w:rPr>
          <w:color w:val="auto"/>
          <w:sz w:val="28"/>
          <w:szCs w:val="28"/>
        </w:rPr>
        <w:t xml:space="preserve"> города</w:t>
      </w:r>
      <w:r w:rsidRPr="000A4D0A">
        <w:rPr>
          <w:color w:val="auto"/>
          <w:sz w:val="28"/>
          <w:szCs w:val="28"/>
        </w:rPr>
        <w:t xml:space="preserve"> (далее </w:t>
      </w:r>
      <w:r w:rsidR="00A64FED">
        <w:rPr>
          <w:color w:val="auto"/>
          <w:sz w:val="28"/>
          <w:szCs w:val="28"/>
        </w:rPr>
        <w:t>–</w:t>
      </w:r>
      <w:r w:rsidRPr="000A4D0A">
        <w:rPr>
          <w:color w:val="auto"/>
          <w:sz w:val="28"/>
          <w:szCs w:val="28"/>
        </w:rPr>
        <w:t xml:space="preserve"> главный администратор бюджетных средств, администратор бюджетных средств</w:t>
      </w:r>
      <w:r w:rsidR="00A64FED">
        <w:rPr>
          <w:color w:val="auto"/>
          <w:sz w:val="28"/>
          <w:szCs w:val="28"/>
        </w:rPr>
        <w:t>)</w:t>
      </w:r>
      <w:r w:rsidRPr="000A4D0A">
        <w:rPr>
          <w:color w:val="auto"/>
          <w:sz w:val="28"/>
          <w:szCs w:val="28"/>
        </w:rPr>
        <w:t>.</w:t>
      </w:r>
    </w:p>
    <w:p w:rsidR="00502B5C" w:rsidRDefault="00502B5C" w:rsidP="00A64FE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A64FED">
        <w:rPr>
          <w:color w:val="auto"/>
          <w:sz w:val="28"/>
          <w:szCs w:val="28"/>
        </w:rPr>
        <w:t>4.</w:t>
      </w:r>
      <w:r w:rsidR="00331D0A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При осуществлении Счетной палатой </w:t>
      </w:r>
      <w:r w:rsidR="00A64FED">
        <w:rPr>
          <w:color w:val="auto"/>
          <w:sz w:val="28"/>
          <w:szCs w:val="28"/>
        </w:rPr>
        <w:t xml:space="preserve">ВФА должностным лицам Счетной палаты следует руководствоваться в том числе следующими </w:t>
      </w:r>
      <w:r>
        <w:rPr>
          <w:color w:val="auto"/>
          <w:sz w:val="28"/>
          <w:szCs w:val="28"/>
        </w:rPr>
        <w:t>Приказ</w:t>
      </w:r>
      <w:r w:rsidR="00A64FED">
        <w:rPr>
          <w:color w:val="auto"/>
          <w:sz w:val="28"/>
          <w:szCs w:val="28"/>
        </w:rPr>
        <w:t>ами</w:t>
      </w:r>
      <w:r>
        <w:rPr>
          <w:color w:val="auto"/>
          <w:sz w:val="28"/>
          <w:szCs w:val="28"/>
        </w:rPr>
        <w:t xml:space="preserve"> Минфина России:</w:t>
      </w:r>
    </w:p>
    <w:p w:rsidR="00502B5C" w:rsidRDefault="00502B5C" w:rsidP="00331D0A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21.11.2019 №</w:t>
      </w:r>
      <w:r w:rsidR="00331D0A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аудита»; </w:t>
      </w:r>
    </w:p>
    <w:p w:rsidR="00502B5C" w:rsidRDefault="00502B5C" w:rsidP="00331D0A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21.11.2019 №</w:t>
      </w:r>
      <w:r w:rsidR="00331D0A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196н «Об утверждении федерального стандарта внутреннего финансового аудита «Определения, принципы и задачи внутреннего финансового аудита»; </w:t>
      </w:r>
    </w:p>
    <w:p w:rsidR="00502B5C" w:rsidRDefault="00502B5C" w:rsidP="00331D0A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18.12.2019 №</w:t>
      </w:r>
      <w:r w:rsidR="00331D0A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аудита»; </w:t>
      </w:r>
    </w:p>
    <w:p w:rsidR="00502B5C" w:rsidRDefault="00502B5C" w:rsidP="00331D0A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22.05.2020 №</w:t>
      </w:r>
      <w:r w:rsidR="00331D0A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91н «Об утверждении федерального стандарта внутреннего финансового аудита «Реализация результатов внутреннего финансового аудита»; </w:t>
      </w:r>
    </w:p>
    <w:p w:rsidR="00502B5C" w:rsidRDefault="00502B5C" w:rsidP="00331D0A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05.08.2020 №</w:t>
      </w:r>
      <w:r w:rsidR="00331D0A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160н «Об утверждении федерального стандарта внутреннего финансового аудита «Планирование и проведение внутреннего финансового аудита»; </w:t>
      </w:r>
    </w:p>
    <w:p w:rsidR="00502B5C" w:rsidRDefault="00502B5C" w:rsidP="00331D0A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01.09.2021 №</w:t>
      </w:r>
      <w:r w:rsidR="00331D0A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120н «Об утверждении </w:t>
      </w:r>
      <w:r w:rsidR="00A64FED">
        <w:rPr>
          <w:color w:val="auto"/>
          <w:sz w:val="28"/>
          <w:szCs w:val="28"/>
        </w:rPr>
        <w:t>федерального</w:t>
      </w:r>
      <w:r>
        <w:rPr>
          <w:color w:val="auto"/>
          <w:sz w:val="28"/>
          <w:szCs w:val="28"/>
        </w:rPr>
        <w:t xml:space="preserve"> стандарта внутреннего финансового аудита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 и о внесении изменений в некоторые приказы Министерства финансов Российской Федерации по вопросам осуществления внутреннего финансового аудита». </w:t>
      </w:r>
    </w:p>
    <w:p w:rsidR="000A4D0A" w:rsidRPr="00A64FED" w:rsidRDefault="000A4D0A" w:rsidP="00A64FED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A64FED">
        <w:rPr>
          <w:color w:val="auto"/>
          <w:sz w:val="28"/>
          <w:szCs w:val="28"/>
        </w:rPr>
        <w:t>1.</w:t>
      </w:r>
      <w:r w:rsidR="00A64FED">
        <w:rPr>
          <w:color w:val="auto"/>
          <w:sz w:val="28"/>
          <w:szCs w:val="28"/>
        </w:rPr>
        <w:t>5</w:t>
      </w:r>
      <w:r w:rsidRPr="00A64FED">
        <w:rPr>
          <w:color w:val="auto"/>
          <w:sz w:val="28"/>
          <w:szCs w:val="28"/>
        </w:rPr>
        <w:t>.</w:t>
      </w:r>
      <w:r w:rsidR="00331D0A">
        <w:rPr>
          <w:color w:val="auto"/>
          <w:sz w:val="28"/>
          <w:szCs w:val="28"/>
        </w:rPr>
        <w:t> </w:t>
      </w:r>
      <w:r w:rsidRPr="00A64FED">
        <w:rPr>
          <w:color w:val="auto"/>
          <w:sz w:val="28"/>
          <w:szCs w:val="28"/>
        </w:rPr>
        <w:t>Стандарт устанавливает цели, предмет</w:t>
      </w:r>
      <w:r w:rsidR="00A64FED" w:rsidRPr="00A64FED">
        <w:rPr>
          <w:color w:val="auto"/>
          <w:sz w:val="28"/>
          <w:szCs w:val="28"/>
        </w:rPr>
        <w:t>,</w:t>
      </w:r>
      <w:r w:rsidRPr="00A64FED">
        <w:rPr>
          <w:color w:val="auto"/>
          <w:sz w:val="28"/>
          <w:szCs w:val="28"/>
        </w:rPr>
        <w:t xml:space="preserve"> </w:t>
      </w:r>
      <w:r w:rsidR="00A64FED" w:rsidRPr="00A64FED">
        <w:rPr>
          <w:color w:val="auto"/>
          <w:sz w:val="28"/>
          <w:szCs w:val="28"/>
        </w:rPr>
        <w:t xml:space="preserve">задачи </w:t>
      </w:r>
      <w:r w:rsidRPr="00A64FED">
        <w:rPr>
          <w:color w:val="auto"/>
          <w:sz w:val="28"/>
          <w:szCs w:val="28"/>
        </w:rPr>
        <w:t xml:space="preserve">проведения проверки и анализа эффективности </w:t>
      </w:r>
      <w:r w:rsidR="00C52FF1" w:rsidRPr="00A64FED">
        <w:rPr>
          <w:color w:val="auto"/>
          <w:sz w:val="28"/>
          <w:szCs w:val="28"/>
        </w:rPr>
        <w:t>ВФА</w:t>
      </w:r>
      <w:r w:rsidRPr="00A64FED">
        <w:rPr>
          <w:color w:val="auto"/>
          <w:sz w:val="28"/>
          <w:szCs w:val="28"/>
        </w:rPr>
        <w:t>, осуществляемого главными администраторами бюджетных средств, администраторами бюджетных средств, мероприятия по подготовке к проведению</w:t>
      </w:r>
      <w:r w:rsidR="00A64FED">
        <w:rPr>
          <w:color w:val="auto"/>
          <w:sz w:val="28"/>
          <w:szCs w:val="28"/>
        </w:rPr>
        <w:t xml:space="preserve"> и по проведению</w:t>
      </w:r>
      <w:r w:rsidRPr="00A64FED">
        <w:rPr>
          <w:color w:val="auto"/>
          <w:sz w:val="28"/>
          <w:szCs w:val="28"/>
        </w:rPr>
        <w:t xml:space="preserve"> проверки и анализа эффективности </w:t>
      </w:r>
      <w:r w:rsidR="00C52FF1" w:rsidRPr="00A64FED">
        <w:rPr>
          <w:color w:val="auto"/>
          <w:sz w:val="28"/>
          <w:szCs w:val="28"/>
        </w:rPr>
        <w:t>ВФА</w:t>
      </w:r>
      <w:r w:rsidRPr="00A64FED">
        <w:rPr>
          <w:color w:val="auto"/>
          <w:sz w:val="28"/>
          <w:szCs w:val="28"/>
        </w:rPr>
        <w:t xml:space="preserve">, а также содержит положения об оценке внутреннего финансового аудита, </w:t>
      </w:r>
    </w:p>
    <w:p w:rsidR="000A4D0A" w:rsidRPr="000A4D0A" w:rsidRDefault="000A4D0A" w:rsidP="00A64FED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A64FED">
        <w:rPr>
          <w:color w:val="auto"/>
          <w:sz w:val="28"/>
          <w:szCs w:val="28"/>
        </w:rPr>
        <w:t>1.</w:t>
      </w:r>
      <w:r w:rsidR="00A64FED">
        <w:rPr>
          <w:color w:val="auto"/>
          <w:sz w:val="28"/>
          <w:szCs w:val="28"/>
        </w:rPr>
        <w:t>6</w:t>
      </w:r>
      <w:r w:rsidRPr="00A64FED">
        <w:rPr>
          <w:color w:val="auto"/>
          <w:sz w:val="28"/>
          <w:szCs w:val="28"/>
        </w:rPr>
        <w:t>.</w:t>
      </w:r>
      <w:r w:rsidR="00331D0A">
        <w:rPr>
          <w:color w:val="auto"/>
          <w:sz w:val="28"/>
          <w:szCs w:val="28"/>
        </w:rPr>
        <w:t> </w:t>
      </w:r>
      <w:r w:rsidRPr="00A64FED">
        <w:rPr>
          <w:color w:val="auto"/>
          <w:sz w:val="28"/>
          <w:szCs w:val="28"/>
        </w:rPr>
        <w:t>Стандарт предназначен для использования должностными лицами Счетной палаты в пределах их компетенции</w:t>
      </w:r>
      <w:r w:rsidRPr="000A4D0A">
        <w:rPr>
          <w:color w:val="auto"/>
          <w:sz w:val="28"/>
          <w:szCs w:val="28"/>
        </w:rPr>
        <w:t xml:space="preserve"> при организации и проведении проверки и анализа эффективности </w:t>
      </w:r>
      <w:r w:rsidR="00C52FF1">
        <w:rPr>
          <w:color w:val="auto"/>
          <w:sz w:val="28"/>
          <w:szCs w:val="28"/>
        </w:rPr>
        <w:t>ВФА</w:t>
      </w:r>
      <w:r w:rsidRPr="000A4D0A">
        <w:rPr>
          <w:color w:val="auto"/>
          <w:sz w:val="28"/>
          <w:szCs w:val="28"/>
        </w:rPr>
        <w:t xml:space="preserve"> в рамках:</w:t>
      </w:r>
    </w:p>
    <w:p w:rsidR="000A4D0A" w:rsidRPr="000A4D0A" w:rsidRDefault="000A4D0A" w:rsidP="00A64FED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0A4D0A">
        <w:rPr>
          <w:color w:val="auto"/>
          <w:sz w:val="28"/>
          <w:szCs w:val="28"/>
        </w:rPr>
        <w:t xml:space="preserve">комплекса контрольных и экспертно-аналитических мероприятий по проверке исполнения </w:t>
      </w:r>
      <w:r>
        <w:rPr>
          <w:color w:val="auto"/>
          <w:sz w:val="28"/>
          <w:szCs w:val="28"/>
        </w:rPr>
        <w:t>решения о бюджете города Нижневартовска</w:t>
      </w:r>
      <w:r w:rsidRPr="000A4D0A">
        <w:rPr>
          <w:color w:val="auto"/>
          <w:sz w:val="28"/>
          <w:szCs w:val="28"/>
        </w:rPr>
        <w:t xml:space="preserve"> за отчетный финансовый год, включающего внешнюю проверку годового отчета об исполнении бюджета и бюджетной отчетности главных администраторов средств бюджета</w:t>
      </w:r>
      <w:r>
        <w:rPr>
          <w:color w:val="auto"/>
          <w:sz w:val="28"/>
          <w:szCs w:val="28"/>
        </w:rPr>
        <w:t xml:space="preserve"> города</w:t>
      </w:r>
      <w:r w:rsidRPr="000A4D0A">
        <w:rPr>
          <w:color w:val="auto"/>
          <w:sz w:val="28"/>
          <w:szCs w:val="28"/>
        </w:rPr>
        <w:t>;</w:t>
      </w:r>
    </w:p>
    <w:p w:rsidR="000A4D0A" w:rsidRPr="000A4D0A" w:rsidRDefault="000A4D0A" w:rsidP="00A64FED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0A4D0A">
        <w:rPr>
          <w:color w:val="auto"/>
          <w:sz w:val="28"/>
          <w:szCs w:val="28"/>
        </w:rPr>
        <w:t xml:space="preserve">самостоятельных тематических контрольных и экспертно-аналитических мероприятий, </w:t>
      </w:r>
      <w:r>
        <w:rPr>
          <w:color w:val="auto"/>
          <w:sz w:val="28"/>
          <w:szCs w:val="28"/>
        </w:rPr>
        <w:t xml:space="preserve">объектами которых являются </w:t>
      </w:r>
      <w:r w:rsidRPr="000A4D0A">
        <w:rPr>
          <w:color w:val="auto"/>
          <w:sz w:val="28"/>
          <w:szCs w:val="28"/>
        </w:rPr>
        <w:t>главн</w:t>
      </w:r>
      <w:r>
        <w:rPr>
          <w:color w:val="auto"/>
          <w:sz w:val="28"/>
          <w:szCs w:val="28"/>
        </w:rPr>
        <w:t>ые</w:t>
      </w:r>
      <w:r w:rsidRPr="000A4D0A">
        <w:rPr>
          <w:color w:val="auto"/>
          <w:sz w:val="28"/>
          <w:szCs w:val="28"/>
        </w:rPr>
        <w:t xml:space="preserve"> администратор</w:t>
      </w:r>
      <w:r>
        <w:rPr>
          <w:color w:val="auto"/>
          <w:sz w:val="28"/>
          <w:szCs w:val="28"/>
        </w:rPr>
        <w:t>ы</w:t>
      </w:r>
      <w:r w:rsidRPr="000A4D0A">
        <w:rPr>
          <w:color w:val="auto"/>
          <w:sz w:val="28"/>
          <w:szCs w:val="28"/>
        </w:rPr>
        <w:t xml:space="preserve"> бюджетных средств, администратор</w:t>
      </w:r>
      <w:r>
        <w:rPr>
          <w:color w:val="auto"/>
          <w:sz w:val="28"/>
          <w:szCs w:val="28"/>
        </w:rPr>
        <w:t>ы</w:t>
      </w:r>
      <w:r w:rsidRPr="000A4D0A">
        <w:rPr>
          <w:color w:val="auto"/>
          <w:sz w:val="28"/>
          <w:szCs w:val="28"/>
        </w:rPr>
        <w:t xml:space="preserve"> бюджетных средств, программы проведения которых включают проверку и анализ эффективности </w:t>
      </w:r>
      <w:r w:rsidR="00C52FF1">
        <w:rPr>
          <w:color w:val="auto"/>
          <w:sz w:val="28"/>
          <w:szCs w:val="28"/>
        </w:rPr>
        <w:t>ВФА</w:t>
      </w:r>
      <w:r w:rsidRPr="000A4D0A">
        <w:rPr>
          <w:color w:val="auto"/>
          <w:sz w:val="28"/>
          <w:szCs w:val="28"/>
        </w:rPr>
        <w:t>;</w:t>
      </w:r>
    </w:p>
    <w:p w:rsidR="000A4D0A" w:rsidRPr="000A4D0A" w:rsidRDefault="000A4D0A" w:rsidP="00A64FED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0A4D0A">
        <w:rPr>
          <w:color w:val="auto"/>
          <w:sz w:val="28"/>
          <w:szCs w:val="28"/>
        </w:rPr>
        <w:t xml:space="preserve">самостоятельных тематических контрольных и экспертно-аналитических мероприятий, предметом и целью которых являются проверка и анализ эффективности </w:t>
      </w:r>
      <w:r w:rsidR="00C52FF1">
        <w:rPr>
          <w:color w:val="auto"/>
          <w:sz w:val="28"/>
          <w:szCs w:val="28"/>
        </w:rPr>
        <w:t>ВФА</w:t>
      </w:r>
      <w:r w:rsidRPr="000A4D0A">
        <w:rPr>
          <w:color w:val="auto"/>
          <w:sz w:val="28"/>
          <w:szCs w:val="28"/>
        </w:rPr>
        <w:t>.</w:t>
      </w:r>
    </w:p>
    <w:p w:rsidR="000A4D0A" w:rsidRPr="000A4D0A" w:rsidRDefault="00A64FED" w:rsidP="00A64FED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1.7</w:t>
      </w:r>
      <w:r w:rsidR="000A4D0A" w:rsidRPr="000A4D0A">
        <w:rPr>
          <w:color w:val="auto"/>
          <w:sz w:val="28"/>
          <w:szCs w:val="28"/>
        </w:rPr>
        <w:t>.</w:t>
      </w:r>
      <w:r w:rsidR="00331D0A">
        <w:rPr>
          <w:color w:val="auto"/>
          <w:sz w:val="28"/>
          <w:szCs w:val="28"/>
        </w:rPr>
        <w:t> </w:t>
      </w:r>
      <w:r w:rsidR="000A4D0A" w:rsidRPr="000A4D0A">
        <w:rPr>
          <w:color w:val="auto"/>
          <w:sz w:val="28"/>
          <w:szCs w:val="28"/>
        </w:rPr>
        <w:t xml:space="preserve">Порядок организации и проведения контрольных и экспертно-аналитических мероприятий регламентируется </w:t>
      </w:r>
      <w:r w:rsidR="000A4D0A">
        <w:rPr>
          <w:color w:val="auto"/>
          <w:sz w:val="28"/>
          <w:szCs w:val="28"/>
        </w:rPr>
        <w:t xml:space="preserve">стандартами </w:t>
      </w:r>
      <w:r w:rsidR="000A4D0A" w:rsidRPr="000A4D0A">
        <w:rPr>
          <w:color w:val="auto"/>
          <w:sz w:val="28"/>
          <w:szCs w:val="28"/>
        </w:rPr>
        <w:t xml:space="preserve">внешнего </w:t>
      </w:r>
      <w:r w:rsidR="000A4D0A">
        <w:rPr>
          <w:color w:val="auto"/>
          <w:sz w:val="28"/>
          <w:szCs w:val="28"/>
        </w:rPr>
        <w:t>муниципального финансового контроля Счетной палаты</w:t>
      </w:r>
      <w:r w:rsidR="000A4D0A" w:rsidRPr="000A4D0A">
        <w:rPr>
          <w:color w:val="auto"/>
          <w:sz w:val="28"/>
          <w:szCs w:val="28"/>
        </w:rPr>
        <w:t xml:space="preserve"> </w:t>
      </w:r>
      <w:r w:rsidR="000A4D0A">
        <w:rPr>
          <w:color w:val="auto"/>
          <w:sz w:val="28"/>
          <w:szCs w:val="28"/>
        </w:rPr>
        <w:t>«</w:t>
      </w:r>
      <w:r w:rsidR="000A4D0A" w:rsidRPr="000A4D0A">
        <w:rPr>
          <w:color w:val="auto"/>
          <w:sz w:val="28"/>
          <w:szCs w:val="28"/>
        </w:rPr>
        <w:t>Общие правила проведения контрольного мероприятия</w:t>
      </w:r>
      <w:r w:rsidR="000A4D0A">
        <w:rPr>
          <w:color w:val="auto"/>
          <w:sz w:val="28"/>
          <w:szCs w:val="28"/>
        </w:rPr>
        <w:t>»,</w:t>
      </w:r>
      <w:r w:rsidR="000A4D0A" w:rsidRPr="000A4D0A">
        <w:rPr>
          <w:color w:val="auto"/>
          <w:sz w:val="28"/>
          <w:szCs w:val="28"/>
        </w:rPr>
        <w:t xml:space="preserve"> </w:t>
      </w:r>
      <w:r w:rsidR="000A4D0A">
        <w:rPr>
          <w:color w:val="auto"/>
          <w:sz w:val="28"/>
          <w:szCs w:val="28"/>
        </w:rPr>
        <w:t>«</w:t>
      </w:r>
      <w:r w:rsidR="000A4D0A" w:rsidRPr="000A4D0A">
        <w:rPr>
          <w:color w:val="auto"/>
          <w:sz w:val="28"/>
          <w:szCs w:val="28"/>
        </w:rPr>
        <w:t>Общие правила проведения экспертно-аналитических мероприятий</w:t>
      </w:r>
      <w:r w:rsidR="000A4D0A">
        <w:rPr>
          <w:color w:val="auto"/>
          <w:sz w:val="28"/>
          <w:szCs w:val="28"/>
        </w:rPr>
        <w:t>»</w:t>
      </w:r>
      <w:r w:rsidR="000A4D0A" w:rsidRPr="000A4D0A">
        <w:rPr>
          <w:color w:val="auto"/>
          <w:sz w:val="28"/>
          <w:szCs w:val="28"/>
        </w:rPr>
        <w:t>.</w:t>
      </w:r>
    </w:p>
    <w:p w:rsidR="000A4D0A" w:rsidRPr="000A4D0A" w:rsidRDefault="00C52FF1" w:rsidP="00A64FED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0A4D0A" w:rsidRPr="000A4D0A">
        <w:rPr>
          <w:color w:val="auto"/>
          <w:sz w:val="28"/>
          <w:szCs w:val="28"/>
        </w:rPr>
        <w:t>ри проведении контрольных и экспертно-аналитических мероприятий могут использоваться иные</w:t>
      </w:r>
      <w:r w:rsidR="000A4D0A">
        <w:rPr>
          <w:color w:val="auto"/>
          <w:sz w:val="28"/>
          <w:szCs w:val="28"/>
        </w:rPr>
        <w:t xml:space="preserve"> соответствующие </w:t>
      </w:r>
      <w:r w:rsidR="000A4D0A" w:rsidRPr="000A4D0A">
        <w:rPr>
          <w:color w:val="auto"/>
          <w:sz w:val="28"/>
          <w:szCs w:val="28"/>
        </w:rPr>
        <w:t xml:space="preserve">стандарты внешнего </w:t>
      </w:r>
      <w:r w:rsidR="000A4D0A">
        <w:rPr>
          <w:color w:val="auto"/>
          <w:sz w:val="28"/>
          <w:szCs w:val="28"/>
        </w:rPr>
        <w:t>муниципального финансового контроля Счетной палаты.</w:t>
      </w:r>
    </w:p>
    <w:p w:rsidR="000A4D0A" w:rsidRDefault="00A64FED" w:rsidP="00A64FED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1.8</w:t>
      </w:r>
      <w:r w:rsidR="000A4D0A" w:rsidRPr="000A4D0A">
        <w:rPr>
          <w:color w:val="auto"/>
          <w:sz w:val="28"/>
          <w:szCs w:val="28"/>
        </w:rPr>
        <w:t>.</w:t>
      </w:r>
      <w:r w:rsidR="00331D0A">
        <w:rPr>
          <w:color w:val="auto"/>
          <w:sz w:val="28"/>
          <w:szCs w:val="28"/>
        </w:rPr>
        <w:t> </w:t>
      </w:r>
      <w:r w:rsidR="000A4D0A" w:rsidRPr="000A4D0A">
        <w:rPr>
          <w:color w:val="auto"/>
          <w:sz w:val="28"/>
          <w:szCs w:val="28"/>
        </w:rPr>
        <w:t>По вопросам, порядок рассмотрения кото</w:t>
      </w:r>
      <w:r w:rsidR="000A4D0A">
        <w:rPr>
          <w:color w:val="auto"/>
          <w:sz w:val="28"/>
          <w:szCs w:val="28"/>
        </w:rPr>
        <w:t>рых не урегулирован Стандартом</w:t>
      </w:r>
      <w:r w:rsidR="00C52FF1">
        <w:rPr>
          <w:color w:val="auto"/>
          <w:sz w:val="28"/>
          <w:szCs w:val="28"/>
        </w:rPr>
        <w:t>, решения принимаются</w:t>
      </w:r>
      <w:r w:rsidR="000A4D0A">
        <w:rPr>
          <w:color w:val="auto"/>
          <w:sz w:val="28"/>
          <w:szCs w:val="28"/>
        </w:rPr>
        <w:t xml:space="preserve"> председателем Счетной палаты.</w:t>
      </w:r>
    </w:p>
    <w:p w:rsidR="000A4D0A" w:rsidRDefault="000A4D0A" w:rsidP="00A64FED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</w:p>
    <w:p w:rsidR="00C52FF1" w:rsidRPr="00C52FF1" w:rsidRDefault="0003018B" w:rsidP="00A64FE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FF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331D0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C52FF1" w:rsidRPr="00C52FF1">
        <w:rPr>
          <w:rFonts w:ascii="Times New Roman" w:hAnsi="Times New Roman" w:cs="Times New Roman"/>
          <w:b/>
          <w:bCs/>
          <w:sz w:val="28"/>
          <w:szCs w:val="28"/>
        </w:rPr>
        <w:t>Содержание внутреннего финансового аудита</w:t>
      </w:r>
    </w:p>
    <w:p w:rsidR="00C52FF1" w:rsidRPr="00C52FF1" w:rsidRDefault="00C52FF1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F1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5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</w:t>
      </w:r>
      <w:hyperlink r:id="rId6" w:history="1">
        <w:r w:rsidRPr="00C52F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160.2-1</w:t>
        </w:r>
      </w:hyperlink>
      <w:r w:rsidRPr="00C5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БК РФ </w:t>
      </w:r>
      <w:r w:rsidRPr="00C52FF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финансовый аудит осуществляется главными администраторами бюджетных средств, администраторами бюджетных средств на основе функциональной независимости в целях:</w:t>
      </w:r>
    </w:p>
    <w:p w:rsidR="00C52FF1" w:rsidRDefault="00CD216B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надежности внутреннего процесса главного администратора бюджетных средств, администратора бюджетных средств,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внутренний финансовый контроль), и подготовки предложений об организации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нутреннего финансового контроля</w:t>
      </w:r>
      <w:r w:rsidR="00C52FF1" w:rsidRPr="00C52F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0E3F" w:rsidRPr="00C52FF1" w:rsidRDefault="00D40E3F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 (внутренним) актам, принятым в соответствии с пунктом 5 статьи 264.1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БК РФ;</w:t>
      </w:r>
    </w:p>
    <w:p w:rsidR="00C52FF1" w:rsidRPr="00C52FF1" w:rsidRDefault="00C52FF1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C52FF1" w:rsidRPr="00C52FF1" w:rsidRDefault="00D40E3F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качества финансового менеджмента</w:t>
      </w:r>
      <w:r w:rsidR="00C52FF1" w:rsidRPr="00C52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2FF1" w:rsidRPr="00C52FF1" w:rsidRDefault="00D40E3F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C52FF1" w:rsidRPr="00C52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2FF1" w:rsidRPr="00C52F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 внутреннего финансового аудита является структурное подразделение и (или) уполномоченное должностное лицо, работник главного администратора бюджетных средств, администратора бюджетных средств, наделенные полномочиями по осуществлению внутреннего финансового аудита и осуществляющие свою деятельность на основе функциональной независимости.</w:t>
      </w:r>
    </w:p>
    <w:p w:rsidR="00C52FF1" w:rsidRPr="00C52FF1" w:rsidRDefault="00C52FF1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F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40E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2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52F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внутреннего финансового аудита являются структурные подразделения главного администратора бюджетных средств, администратора бюджетных средств, подведомственные им администраторы бюджетных средств и получатели бюджетных средств (далее</w:t>
      </w:r>
      <w:r w:rsidR="00BC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C5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объекты аудита).</w:t>
      </w:r>
    </w:p>
    <w:p w:rsidR="00C52FF1" w:rsidRDefault="00C52FF1" w:rsidP="00A64FED">
      <w:pPr>
        <w:pStyle w:val="Default"/>
        <w:ind w:firstLine="709"/>
        <w:rPr>
          <w:color w:val="auto"/>
          <w:sz w:val="28"/>
          <w:szCs w:val="28"/>
        </w:rPr>
      </w:pPr>
    </w:p>
    <w:p w:rsidR="00331D0A" w:rsidRPr="00C52FF1" w:rsidRDefault="00331D0A" w:rsidP="00A64FED">
      <w:pPr>
        <w:pStyle w:val="Default"/>
        <w:ind w:firstLine="709"/>
        <w:rPr>
          <w:color w:val="auto"/>
          <w:sz w:val="28"/>
          <w:szCs w:val="28"/>
        </w:rPr>
      </w:pPr>
    </w:p>
    <w:p w:rsidR="00623124" w:rsidRPr="00623124" w:rsidRDefault="00623124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331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623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Предмет, цели, задачи проверки и анализа эффективности</w:t>
      </w:r>
    </w:p>
    <w:p w:rsidR="00623124" w:rsidRPr="00623124" w:rsidRDefault="00623124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внутреннего финансового аудита</w:t>
      </w:r>
    </w:p>
    <w:p w:rsidR="00623124" w:rsidRPr="00623124" w:rsidRDefault="00623124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3124" w:rsidRPr="00623124" w:rsidRDefault="00623124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проверки и анализа эффективности внутреннего финансового аудита является деятельность субъекта внутреннего финансового аудита соответствующего главного администратора бюджетных средств, администратора бюджетных средств.</w:t>
      </w:r>
    </w:p>
    <w:p w:rsidR="00623124" w:rsidRPr="00623124" w:rsidRDefault="00623124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проверки и анализа эффективности внутреннего финансового аудита, осуществляемого главным администратором бюджетных средств, администратором бюджетных средств являются:</w:t>
      </w:r>
    </w:p>
    <w:p w:rsidR="00623124" w:rsidRPr="00623124" w:rsidRDefault="00623124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состояния внутреннего финансового аудита и определение целесообразности использования его результатов при планировании контрольных и экспертно-аналитических мероприятий Счетной палаты в соответствующем главном администраторе бюджетных средств, администраторе бюджетных средств;</w:t>
      </w:r>
    </w:p>
    <w:p w:rsidR="00623124" w:rsidRPr="00623124" w:rsidRDefault="00623124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соблюдения субъектом внутреннего финансового аудита требований стандартов, правил, методических рекомендаций и других методических документов, регламентирующих проведение внутреннего финансового</w:t>
      </w:r>
      <w:r w:rsid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аудита</w:t>
      </w: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3124" w:rsidRPr="00623124" w:rsidRDefault="00623124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нарушений и недостатков в организации работы и отчетности субъекта внутреннего финансового аудита, а также выработка рекомендаций по совершенствованию внутреннего финансового аудита.</w:t>
      </w:r>
    </w:p>
    <w:p w:rsidR="00623124" w:rsidRPr="00623124" w:rsidRDefault="00623124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проверки и анализа эффективности внутреннего финансового аудита является оценка:</w:t>
      </w:r>
    </w:p>
    <w:p w:rsidR="00623124" w:rsidRPr="00623124" w:rsidRDefault="00623124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внутреннего финансового аудита, включая оценку организационной структуры субъекта внутреннего финансового аудита, его функциональной независимости, уровня его подотчетности, численности и укомплектованности;</w:t>
      </w:r>
    </w:p>
    <w:p w:rsidR="00623124" w:rsidRPr="00623124" w:rsidRDefault="00623124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планирования аудиторских проверок в объектах внутреннего финансового аудита;</w:t>
      </w:r>
    </w:p>
    <w:p w:rsidR="00623124" w:rsidRPr="00623124" w:rsidRDefault="00623124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осуществления внутреннего финансового аудита;</w:t>
      </w:r>
    </w:p>
    <w:p w:rsidR="00623124" w:rsidRPr="00623124" w:rsidRDefault="00623124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субъектом внутреннего финансового аудита порядка составления и представления отчета о результатах аудиторской проверки и годовой отчетности о результатах осуществления внутреннего финансового аудита;</w:t>
      </w:r>
    </w:p>
    <w:p w:rsidR="00623124" w:rsidRPr="00623124" w:rsidRDefault="00623124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proofErr w:type="gramEnd"/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проводимых субъектом внутреннего финансового аудита аудиторских проверок, направленных на решение поставленных перед ним задач, в том числе проводимых по результатам проверок Счетной палаты</w:t>
      </w:r>
      <w:r w:rsidR="00BC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органов финансового контроля</w:t>
      </w: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соответствующем главном администраторе бюджетных средств, администраторе бюджетных средств.</w:t>
      </w:r>
    </w:p>
    <w:p w:rsidR="00C52FF1" w:rsidRPr="00331D0A" w:rsidRDefault="00C52FF1" w:rsidP="00A64FED">
      <w:pPr>
        <w:pStyle w:val="Default"/>
        <w:ind w:firstLine="709"/>
        <w:rPr>
          <w:color w:val="auto"/>
          <w:sz w:val="16"/>
          <w:szCs w:val="28"/>
        </w:rPr>
      </w:pP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331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F00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проведению проверки и анализа эффективности</w:t>
      </w:r>
    </w:p>
    <w:p w:rsidR="000C0FFE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внутреннего финансового аудита</w:t>
      </w:r>
    </w:p>
    <w:p w:rsidR="00331D0A" w:rsidRPr="00331D0A" w:rsidRDefault="00331D0A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проведению проверки и анализа эффективности внутреннего финансового аудита начинается с изучения сведений о соответствующем главном администраторе бюджетных средств, администраторе бюджетных средств, содержащихся в </w:t>
      </w:r>
      <w:r w:rsid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информационных системах, информационных системах сети «Интернет»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результатов проверок главного администратора бюджетных средств, администратора бюджетных средств </w:t>
      </w:r>
      <w:r w:rsidR="00BC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палатой и 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органами государственного финансового контроля.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предварительного изучения главного администратора бюджетных средств, администратора бюджетных средств подготавливается программа проведения проверки и анализа эффективности внутреннего финансового аудита (в рамках самостоятельных тематических контрольных и экспертно-аналитических мероприятий) или отдельный раздел программы проведения контрольного или экспертно-аналитического мероприятия.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анализа имеющейся информации о главном администраторе бюджетных средств, администраторе бюджетных средств с учетом вопросов программы проведения контрольного или экспертно-аналитического мероприятия в части проверки и анализа эффективности внутреннего финансового аудита в адрес руководства проверяемого главного администратора бюджетных средств, администратора бюджетных средств направляются запросы, содержащие перечень необ</w:t>
      </w:r>
      <w:r w:rsid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ходимых документов и информации, в том числе может запрашивае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информация о результатах устранения нарушений и недостатков, выявленных в деятельности субъекта внутреннего финансового аудита в ходе проверок и анализа эффективности внутреннего финансового аудита, проведенных Счетной палатой и иными органами финансового контроля.</w:t>
      </w:r>
    </w:p>
    <w:p w:rsidR="000C0FFE" w:rsidRPr="00331D0A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14"/>
      <w:bookmarkEnd w:id="1"/>
      <w:r w:rsidRPr="00F00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331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F00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и анализ эффективности внутреннего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финансового аудита</w:t>
      </w:r>
    </w:p>
    <w:p w:rsidR="000C0FFE" w:rsidRPr="00331D0A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F003A2" w:rsidRDefault="00FF3575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анализ</w:t>
      </w:r>
      <w:r w:rsidR="000C0FFE"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внутреннего финансового аудита в главном администраторе бюджетных средств, администраторе бюджетных средств осуществляется по результатам двух этапов оценки внутреннего финансового аудита.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 осуществляется оценка организации внутреннего финансового аудита, в рамках которого проверяется и анализируется подготовленность субъекта внутреннего финансового аудита к обеспечению выполнения поставленных перед ним задач, включающая: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 характеристику правового акта главного администратора бюджетных средств, администратора бюджетных средств об организации внутреннего финансового аудита;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распределения полномочий и ответственности по организации и осуществлению внутреннего финансового аудита правовым актом главного администратора бюджетных средств, администратора бюджетных средств, разработк</w:t>
      </w:r>
      <w:r w:rsid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утверждение должностных регламентов и инструкций сотрудников, осуществляющих внутренний финансовый аудит;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субъекта внутреннего финансового аудита сотрудниками с учетом требований к профессиональным знаниям и навыкам, необходимым для исполнения должностных обязанностей сотрудников, организующих и осуществляющих внутренний финансовый аудит;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планирования аудиторских проверок в объектах внутреннего финансового аудита, включая применение субъектом внутреннего финансового аудита оценки бюджетных рисков при планировании аудиторских проверок, соответствие порядка планирования внутреннего финансового аудита нормативным правовым актам Российской Федерации, а также учет субъектом внутреннего финансового аудита результатов проверок главного администратора бюджетных средств Счетной палатой и иными органами финансового контроля при планировании и осуществлении внутреннего финансового аудита;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осуществления внутреннего финансового аудита, включая степень охвата аудиторскими проверками объектов аудита, подведомственных главному администратору бюджетных средств, администратору бюджетных средств;</w:t>
      </w:r>
    </w:p>
    <w:p w:rsidR="000C0FFE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соблюдения субъектом внутреннего финансового аудита порядка составления и представления отчета о результатах аудиторских проверок объектов внутреннего финансового аудита и годовой отчетности о результатах осуществления внутреннего финансового аудита, проведенных субъектом внутреннего финансового аудита, реализацию замечаний и рекомендаций субъекта внутреннего финансового аудита;</w:t>
      </w:r>
    </w:p>
    <w:p w:rsidR="000A0801" w:rsidRPr="00F003A2" w:rsidRDefault="000A0801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утвержденного главным</w:t>
      </w:r>
      <w:r w:rsidRPr="000A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администратором бюджетных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0A080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A08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финансового менеджмента, включающ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0A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</w:t>
      </w:r>
      <w:r w:rsidRPr="000A0801">
        <w:t xml:space="preserve"> </w:t>
      </w:r>
      <w:r w:rsidRPr="000A08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подведомственных ему 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министраторов бюджетных средств;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главным администратором бюджетных средств, администратором бюджетных средств аудиторских выводов, предложений и рекомендаций;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субъекта внутреннего финансового аудита со Счетной палатой и иными органами финансового контроля, включая анализ информации субъектом внутреннего финансового аудита о результатах устранения нарушений и недостатков, выявленных в его деятельности в ходе проверок и анализа эффективности внутреннего финансового аудита, проведенных Счетной палатой и иными органами финансового контроля.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формализованной оценки организации внутреннего финансового аудита и формирования количественных оценок по соответствующим признакам на первом этапе оценки используется перечень вопросов, приведенный в </w:t>
      </w:r>
      <w:hyperlink r:id="rId7" w:anchor="p86" w:history="1">
        <w:r w:rsidRPr="00F003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приложении </w:t>
        </w:r>
        <w:r w:rsidR="00885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331D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F003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Стандарту</w:t>
      </w:r>
      <w:r w:rsidR="00FF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575"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F3575"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FF357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F3575"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8" w:anchor="p86" w:history="1">
        <w:r w:rsidRPr="00F003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перечне </w:t>
        </w:r>
        <w:r w:rsidR="00885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331D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F003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выбираемые ответы на каждый вопрос расположены в порядке возрастания оценок, характеризующих степень организации внутреннего финансового аудита по данному признаку: первый ответ 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самая низкая оценка (1), последний ответ 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самая высокая оценка (7).</w:t>
      </w:r>
    </w:p>
    <w:p w:rsidR="000C0FFE" w:rsidRPr="00F003A2" w:rsidRDefault="000C0FFE" w:rsidP="00F14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Оценки, полученные в результате ответов на вопросы </w:t>
      </w:r>
      <w:hyperlink r:id="rId9" w:anchor="p86" w:history="1">
        <w:r w:rsidRPr="00F003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перечня </w:t>
        </w:r>
        <w:r w:rsidR="00885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331D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F003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отражаются в </w:t>
      </w:r>
      <w:hyperlink r:id="rId10" w:history="1">
        <w:r w:rsidR="00F148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таблице</w:t>
        </w:r>
      </w:hyperlink>
      <w:r w:rsidR="00F14892" w:rsidRPr="00F14892">
        <w:t xml:space="preserve"> </w:t>
      </w:r>
      <w:r w:rsidR="00F14892">
        <w:t>«</w:t>
      </w:r>
      <w:r w:rsidR="00F14892" w:rsidRPr="00F148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Интегральная оценка</w:t>
      </w:r>
      <w:r w:rsidR="00F14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892" w:rsidRPr="00F148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внутреннего финансового аудита</w:t>
      </w:r>
      <w:r w:rsidR="00F148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приведенной в приложении </w:t>
      </w:r>
      <w:r w:rsid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Стандарту. Последняя </w:t>
      </w:r>
      <w:hyperlink r:id="rId11" w:history="1">
        <w:r w:rsidRPr="00F003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графа</w:t>
        </w:r>
      </w:hyperlink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</w:t>
      </w:r>
      <w:r w:rsidR="00F148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4892" w:rsidRPr="00F148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Интегральная оценка</w:t>
      </w:r>
      <w:r w:rsidR="00F14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892" w:rsidRPr="00F148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внутреннего финансового аудита</w:t>
      </w:r>
      <w:r w:rsidR="00F14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приведенной в </w:t>
      </w:r>
      <w:r w:rsidR="00FF35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F148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F3575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Стандарту</w:t>
      </w:r>
      <w:r w:rsidR="00BC29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характеризует интегральную оценку организации внутреннего финансового аудита в главном администраторе бюджетных средств, администраторе бюджетных средств (на первом этапе оценки), рассчитанную на основе обобщения оценок по всем вопросам </w:t>
      </w:r>
      <w:hyperlink r:id="rId12" w:anchor="p86" w:history="1">
        <w:r w:rsidRPr="00F003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перечня </w:t>
        </w:r>
        <w:r w:rsidR="00885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331D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F003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внутреннего финансового аудита оценивается как: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высокая 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интегральной оценке от 5 до 7 баллов;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интегральной оценке от более чем 2 до менее чем 5 баллов;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интегральной оценке от 1 до 2 баллов.</w:t>
      </w:r>
    </w:p>
    <w:p w:rsidR="000C0FFE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низкой интегральной оценке организации внутреннего финансового аудита второй этап оценки эффективности внутреннего финансового аудита не проводится, поскольку она считается низкой.</w:t>
      </w:r>
    </w:p>
    <w:p w:rsidR="00FF3575" w:rsidRPr="00F003A2" w:rsidRDefault="00FF3575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нарушения и недостатки в ходе проведения первого этапа п</w:t>
      </w:r>
      <w:r w:rsidRPr="00FF35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внутреннего финансового аудита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обуславливающие снижение оценки по каждому из вопросов перечня №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 излагаются в краткой форме и прилагаются к соответствующим оценочным листам.</w:t>
      </w:r>
    </w:p>
    <w:p w:rsidR="00FF3575" w:rsidRDefault="00FF3575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низкой 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интегральной оценке организации внутреннего финансового аудита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делается вывод о низком уровне организации и, соответственно, надежности внутреннего финансового аудита </w:t>
      </w:r>
      <w:r w:rsidRPr="00FF35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главном администраторе бюджетных средств, администраторе бюджетных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излагаются соответствующие р</w:t>
      </w:r>
      <w:r w:rsidR="000A080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екомендации по повышению его эфф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ективности.</w:t>
      </w:r>
    </w:p>
    <w:p w:rsidR="00BC2907" w:rsidRPr="00F003A2" w:rsidRDefault="00BC2907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высокой и средней интегральной оценке организации внутреннего финансового аудита проводится ее второй этап.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этапе проводятся проверка и анализ результатов осуществления внутреннего финансового аудита, проверяется выполнение субъектом внутреннего финансового аудита поставленных перед ним задач в части оценки степени надежности внутреннего финансового контроля и подготовки рекомендаций по повышению его эффективности, подтверждения достоверности бюджетной отчетности и соответствия порядка ведения бюджетного учета установленным методологи</w:t>
      </w:r>
      <w:r w:rsidR="000A08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стандартам бюджетного учета, подготовка</w:t>
      </w:r>
      <w:r w:rsidR="000A0801" w:rsidRPr="000A0801">
        <w:t xml:space="preserve"> </w:t>
      </w:r>
      <w:r w:rsidR="000A0801" w:rsidRPr="000A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6D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повышению </w:t>
      </w:r>
      <w:r w:rsidR="000A0801" w:rsidRPr="000A08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и экономности использования бюджетных средств</w:t>
      </w:r>
      <w:r w:rsidR="000A0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этапе следует учитывать результаты проводимых субъектом внутреннего финансового аудита аудиторских проверок в части: объемов проверенных бюджетных средств, выявленных нарушений и недостатков в использовании бюджетных средств и </w:t>
      </w:r>
      <w:r w:rsid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в том числе не по целевому назначению, подготовки бюджетной отчетности и ведения бюджетного учета, а также в части принятых мер по устранению нарушений и недостатков, минимизации бюджетных рисков, повышению экономности и результативности использования бюджетных средств.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объемах и структуре нарушений, выявленных по результатам аудиторских проверок субъекта внутреннего финансового аудита, и о принятых мерах по их устранению заполняется в соответствии с </w:t>
      </w:r>
      <w:hyperlink r:id="rId13" w:history="1">
        <w:r w:rsidRPr="00885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приложением </w:t>
        </w:r>
        <w:r w:rsidR="00885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331D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885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Стандарту.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 данном этапе анализируются акты аудиторских проверок, проведенных субъектом внутреннего финансового аудита, оцениваются достаточность и надежность доказательств при формировании сделанных им выводов о нарушениях при совершении финансовых и хозяйственных операций, поверяется наличие в отчетах о результатах аудиторских проверок предложений и рекомендаций по устранению выявленных нарушений и недостатков, принятию мер по минимизации бюджетных рисков, а также предложений по повышению экономности и результативности использования бюджетных средств, и проводится их анализ.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анализируются решения руководителя главного администратора бюджетных средств, администратора бюджетных средств по отчетам о результатах внутренних аудиторских проверок, в том числе: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реализации аудиторских выводов, предложений и рекомендаций;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недостаточной обоснованности аудиторских выводов, предложений и рекомендаций;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 дисциплинарной и (или) материальной ответственности к виновным должностным лицам, а также о проведении служебных проверок;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таких проверок включаются в акт контрольного мероприятия в части результатов проверки и анализа эффективности внутреннего финансового аудита. Нарушения, которые не были выявлены в отчетном периоде субъектом внутреннего финансового аудита соответствующего главного администратора бюджетных средств, администратора бюджетных средств, но были установлены в ходе проведенных Счетной палатой проверок, фиксируются в акте.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проводится сравнительный анализ результатов аудиторских проверок внутреннего финансового аудита с результатами проверок соответствующего главного администратора бюджетных средств, администратора бюджетных средств, проведенных впоследствии Счетной палатой и иными органами государственного финансового контроля.</w:t>
      </w:r>
    </w:p>
    <w:p w:rsidR="000C0FFE" w:rsidRPr="00885F21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формализованной оценки результатов осуществления внутреннего финансового аудита и формирования количественных оценок по соответствующим признакам на втором этапе используется перечень вопросов, приведенный в приложении </w:t>
      </w:r>
      <w:r w:rsid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Стандарту (далее 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2).</w:t>
      </w:r>
    </w:p>
    <w:p w:rsidR="000C0FFE" w:rsidRPr="00885F21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4" w:history="1">
        <w:r w:rsidR="00885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перечне №</w:t>
        </w:r>
        <w:r w:rsidR="00331D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2</w:t>
        </w:r>
      </w:hyperlink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выбираемые ответы на каждый вопрос расположены в порядке возрастания оценок, характеризующих степень оценки результатов осуществления внутреннего финансового аудита по данному признаку: первый ответ 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самая низкая оценка (0), последний ответ 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самая высокая оценка (3).</w:t>
      </w:r>
    </w:p>
    <w:p w:rsidR="000C0FFE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Оценки, полученные в результате ответов на вопросы </w:t>
      </w:r>
      <w:hyperlink r:id="rId15" w:history="1">
        <w:r w:rsidRPr="00885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перечня </w:t>
        </w:r>
        <w:r w:rsidR="00885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331D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885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отражаются в </w:t>
      </w:r>
      <w:hyperlink r:id="rId16" w:history="1">
        <w:r w:rsidRPr="00885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таблице</w:t>
        </w:r>
        <w:r w:rsidR="00331D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885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приведенной в приложении </w:t>
      </w:r>
      <w:r w:rsid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 Стандарту. Последняя </w:t>
      </w:r>
      <w:hyperlink r:id="rId17" w:history="1">
        <w:r w:rsidRPr="00885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графа</w:t>
        </w:r>
      </w:hyperlink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B7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№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7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характеризует интегральную оценку результатов осуществления внутреннего финансового аудита в главном администраторе бюджетных средств, администраторе бюджетных средств, рассчитанную на основе обобщения оценок по всем вопросам перечня </w:t>
      </w:r>
      <w:r w:rsid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BB7ECB" w:rsidRPr="00885F21" w:rsidRDefault="00BB7ECB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Выявленные нарушения и недостатки в ходе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</w:t>
      </w:r>
      <w:r w:rsidRPr="00BB7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проверки и анализа эффективности внутреннего финансового аудита, обуславливающие снижение оценки по каждому из вопросов перечня №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7EC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излагаются в краткой форме и прилагаются к соответствующим оценочным листам.</w:t>
      </w:r>
    </w:p>
    <w:p w:rsidR="000C0FFE" w:rsidRPr="00885F21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осуществления внутреннего финансового аудита является:</w:t>
      </w:r>
    </w:p>
    <w:p w:rsidR="000C0FFE" w:rsidRPr="00885F21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высокой 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интегральной оценке от 2 до 3 баллов;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средней 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интегральной оценке от более чем 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1 до менее чем 2 баллов;</w:t>
      </w:r>
    </w:p>
    <w:p w:rsidR="000C0FFE" w:rsidRPr="00F003A2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низкой 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интегральной оценке от 0 до 1 баллов.</w:t>
      </w:r>
    </w:p>
    <w:p w:rsidR="000C0FFE" w:rsidRDefault="00331D0A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5.3. </w:t>
      </w:r>
      <w:r w:rsidR="000C0FFE"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двух этапов оценки внутреннего финансового аудита делается обобщающий вывод об эффективности внутреннего финансового аудита в соответствии с матрицей, 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приведенной в </w:t>
      </w:r>
      <w:hyperlink r:id="rId18" w:history="1">
        <w:r w:rsidR="000C0FFE" w:rsidRPr="00885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таблице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="000C0FFE" w:rsidRPr="00885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C0FFE"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>3 к Стандарту.</w:t>
      </w:r>
    </w:p>
    <w:p w:rsidR="006D6C90" w:rsidRPr="00F003A2" w:rsidRDefault="006D6C90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по итогам </w:t>
      </w:r>
      <w:r w:rsidRPr="00F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этапов оценки внутреннего финансового аудита </w:t>
      </w:r>
      <w:r w:rsidRPr="006D6C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излагаются соответствующие рекомендации по повышению его эффективности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6D6C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повышению</w:t>
      </w:r>
      <w:r w:rsidRPr="006D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и экономности использования бюджетных средств.</w:t>
      </w:r>
    </w:p>
    <w:p w:rsidR="000C0FFE" w:rsidRPr="00885F21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0FFE" w:rsidRPr="00885F21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331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0C0FFE" w:rsidRPr="00885F21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885F21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проверки и анализа эффективности внутреннего финансового аудита используются при планировании контрольных и экспертно-аналитических мероприятий Счетной палаты в главных администраторах бюджетных средств, администраторах бюджетных средств:</w:t>
      </w:r>
    </w:p>
    <w:p w:rsidR="000C0FFE" w:rsidRPr="00885F21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низком уровне эффективности результаты внутреннего финансового аудита не учитываются;</w:t>
      </w:r>
    </w:p>
    <w:p w:rsidR="000C0FFE" w:rsidRPr="00885F21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среднем уровне эффективности результаты внутреннего финансового аудита следует учитывать при формировании вопросов программ проведения самостоятельных тематических контрольных и экспертно-аналитических мероприятий;</w:t>
      </w:r>
    </w:p>
    <w:p w:rsidR="000C0FFE" w:rsidRPr="00885F21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высоком уровне эффективности в программы проведения самостоятельных тематических контрольных и экспертно-аналитических мероприятий следует включать вопросы, которые не были охвачены внутренним финансовым аудитом.</w:t>
      </w:r>
    </w:p>
    <w:p w:rsidR="000C0FFE" w:rsidRPr="00885F21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проверки и анализа эффективности внутреннего финансового аудита в рамках осуществления последующего контроля за исполнением средств </w:t>
      </w:r>
      <w:r w:rsid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включаются в акты, составленные по результатам проведения контрольных мероприятий на объектах. Содержащаяся в актах информация, а также предложения (рекомендации) используются при подготовке заключения Счетной палаты на отчет об исполнении бюджета </w:t>
      </w:r>
      <w:r w:rsid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финансовый год.</w:t>
      </w:r>
    </w:p>
    <w:p w:rsidR="000C0FFE" w:rsidRPr="00885F21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проверки и анализа эффективности внутреннего финансового аудита по итогам самостоятельных контрольных мероприятий включаются в акты, составленные по результатам контрольных мероприятий на объектах. Содержащаяся в актах информация, а также предложения (рекомендации) используются при подготовке отчетов по результатам контрольных мероприятий.</w:t>
      </w:r>
    </w:p>
    <w:p w:rsidR="000C0FFE" w:rsidRPr="00885F21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проверки и анализа эффективности внутреннего финансового аудита, а также предложения (рекомендации) по итогам экспертно-аналитических мероприятий включаются в </w:t>
      </w:r>
      <w:r w:rsid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экспертно-аналитических мероприятий</w:t>
      </w:r>
      <w:r w:rsid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7ECB" w:rsidRDefault="000C0FFE" w:rsidP="00A6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7ECB" w:rsidRDefault="00BB7E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C0FFE" w:rsidRPr="00885F21" w:rsidRDefault="000C0FFE" w:rsidP="00E90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C0FFE" w:rsidRPr="00885F21" w:rsidRDefault="000C0FFE" w:rsidP="00E90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90BE7" w:rsidRPr="00E90B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 w:rsidR="00E90BE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90BE7" w:rsidRPr="00E9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внешнего муниципального финансового контроля </w:t>
      </w:r>
      <w:r w:rsidR="00E90B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анализ</w:t>
      </w:r>
    </w:p>
    <w:p w:rsidR="000C0FFE" w:rsidRPr="00885F21" w:rsidRDefault="000C0FFE" w:rsidP="00E90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внутреннего</w:t>
      </w:r>
    </w:p>
    <w:p w:rsidR="000C0FFE" w:rsidRPr="00885F21" w:rsidRDefault="000C0FFE" w:rsidP="00E90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аудита</w:t>
      </w:r>
      <w:r w:rsidR="00E90B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86"/>
      <w:bookmarkEnd w:id="2"/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ДЛЯ ОЦЕНКИ ОРГАНИЗАЦИИ ВНУТРЕННЕГО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АУДИТА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Отметьте галочкой (V) соответствующий ответ: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 структура внутреннего финансового аудита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 характеристика правового акта главного администратора бюджетных средств, администратора бюджетных средств об организации внутреннего финансового аудита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F007F4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правового акта об организации внутреннего финансового аудита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____Наличие правового акта главного администратора бюджетных средств, администратора бюджетных средств об организации внутреннего финансового аудита, который не обеспечивает независимость субъекта внутреннего финансового аудита и (или) не содержит единый подход к разработке ведомственного порядка осуществления</w:t>
      </w:r>
      <w:r w:rsidR="00F0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финансового аудита (4 балла).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правового акта главного администратора бюджетных средств, администратора бюджетных средств об организации внутреннего финансового аудита, который обеспечивает независимость субъекта внутреннего финансового аудита и определяет единый подход к разработке ведомственного порядка осуществления внутреннего финансового аудита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распределения полномочий и ответственности по организации и осуществлению внутреннего финансового аудита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по организации и осуществлению внутреннего финансового аудита не закреплены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____Полномочия субъекта внутреннего финансового аудита закреплены</w:t>
      </w:r>
      <w:r w:rsidR="00E9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законодательства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7E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 w:rsidR="00BB7E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90B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E90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субъекта внутреннего финансового аудита сотрудниками с учетом требований к профессиональным знаниям и навыкам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по количеству недостаточная для реализации задач внутреннего финансового аудита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по количеству достаточная для реализации задач внутреннего финансового аудита, но большинство сотрудников субъекта внутреннего финансового аудита не имеют дипломов высшего профессионального образования по экономическим, юридическим направлениям подготовки (специальностям)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балла)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по количеству достаточная и большинство сотрудников субъекта внутреннего финансового аудита имеют дипломы высшего профессионального образования по экономическим, юридическим направлениям подготовки (специальностям)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баллов)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планирования внутреннего финансового аудита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Годовое планирование внутреннего финансового аудита и программы аудиторских проверок, их соответствие нормативным правовым актам Российской Федерации в сфере внутреннего финансового аудита (наличие установленного порядка составления, утверждения и ведения годового плана, наличие годового плана и программ аудиторских проверок, их форма, срок утверждения годового плана и др.)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составления, утверждения и ведения годового плана и (или) годовой план осуществления внутреннего финансового аудита и программы аудиторских проверок отсутствуют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осуществления внутреннего финансового аудита и программы аудиторских проверок имеются, но порядок его составления, утверждения и ведения не соответствует нормативным правовым актам Российской Федерации в сфере внутреннего финансового аудита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балла)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осуществления внутреннего финансового аудита и программы аудиторских проверок имеются, порядок составления, утверждения и ведения соответствует нормативным правовым актам Российской Федерации в сфере внутреннего финансового аудита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баллов)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учета субъектом внутреннего финансового аудита факторов, влияющих на качество составления годового плана внутреннего финансового аудита и программ аудиторских проверок (значимость операций, объем выборки, степень обеспеченности субъекта внутреннего финансового аудита ресурсами и др.)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факторы не учитываются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факторы учитываются частично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балла)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факторы учитываются полностью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баллов)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планирования аудиторских проверок в объектах внутреннего финансового аудита, включая применение субъектом внутреннего финансового аудита оценки бюджетных рисков при планировании аудиторских проверок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аудиторских проверок организовано без применения оценки бюджетных рисков при планировании аудиторских проверок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аудиторских проверок организовано на основе разовой оценки бюджетных рисков на стадии подготовки планов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финансового аудита (4 балла).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аудиторских проверок организовано с применением оценки бюджетных рисков в главном администраторе бюджетных средств, администраторе бюджетных средств.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баллов).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субъектом внутреннего финансового аудита предварительного анализа данных об объектах аудита при составлении программы аудиторской проверки (в том числе сведений </w:t>
      </w:r>
      <w:proofErr w:type="gramStart"/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</w:t>
      </w:r>
      <w:proofErr w:type="gramEnd"/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в проверяемом периоде контрольных мероприятий Счетной палаты и 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органов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функции по контролю и надзору в финансово-бюджетной сфере)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частично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балла)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полной 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баллов)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осуществления внутреннего финансового аудита, включая степень охвата аудиторскими проверками объектов внутреннего финансового аудита, подведомственных главному администратору бюджетных средств, администратору бюджетных средств</w:t>
      </w:r>
    </w:p>
    <w:p w:rsidR="00BB7ECB" w:rsidRDefault="00BB7ECB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ECB" w:rsidRDefault="00BB7ECB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71DE" w:rsidRP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 характеристика правового акта главного администратора бюджетных средств</w:t>
      </w:r>
      <w:r w:rsid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устанавливающего</w:t>
      </w:r>
      <w:r w:rsidR="00C371DE" w:rsidRP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E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BB7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качества финансового менеджмента,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 в отношении подведомственных ему ад</w:t>
      </w:r>
      <w:r w:rsid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министраторов бюджетных средств (далее – порядок осуществления мониторинга финансового менеджмента) </w:t>
      </w:r>
      <w:r w:rsidR="00C371DE" w:rsidRP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(заполняется в случае наличия таких объектов)</w:t>
      </w:r>
      <w:r w:rsid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1DE" w:rsidRDefault="00C371D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1DE" w:rsidRPr="00885F21" w:rsidRDefault="00C371DE" w:rsidP="00C3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r w:rsidRP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мониторинга финансового менеджмента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1DE" w:rsidRDefault="00C371DE" w:rsidP="00C3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____Наличие </w:t>
      </w:r>
      <w:r w:rsidRP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мониторинга финансового менеджмента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обеспечивает полноту и соответствие требованиям законодательства</w:t>
      </w:r>
      <w:r w:rsidRP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расчета и анализа значений показателей качества финансового менеджмента, формирования и представления информации, необходимой для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указанного мониторинга, а также</w:t>
      </w:r>
      <w:r w:rsidRP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формирования и представления отчета о результатах мониторинга качества финансового менеджмента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балла)</w:t>
      </w:r>
      <w:r w:rsidRP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1DE" w:rsidRPr="00885F21" w:rsidRDefault="00C371DE" w:rsidP="00C3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P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осуществления мониторинга финансового менеджмента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обеспечивает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полноту и соответствие требованиям законодательства</w:t>
      </w:r>
      <w:r w:rsidRP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расчета и анализа значений показателей качества финансового менеджмента, формирования и представления информации, необходимой для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указанного мониторинга, а также</w:t>
      </w:r>
      <w:r w:rsidRP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формирования и представления отчета о результатах мониторинга качества финансового менеджмента.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баллов)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охвата аудиторскими проверками объектов внутреннего финансового аудита, подведомственных главному распорядителю (распорядителю) средств бюджета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(заполняется в случае наличия таких объектов), по данным отчетного года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Аудиторскими проверками внутреннего финансового аудита охвачено от 0 (включительно) до 14,3% объектов внутреннего финансового аудита, подведомственных главному распорядителю (распорядителю) средств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(1 балл)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Аудиторскими проверками внутреннего финансового аудита охвачено от 14,3% (включительно) до 28,6% объектов внутреннего финансового аудита, подведомственных главному распорядителю (распорядителю)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балла)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Аудиторскими проверками внутреннего финансового аудита охвачено от 28,6% (включительно) до 42,9% объектов внутреннего финансового аудита, подведомственных главному распорядителю (распорядителю)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балла)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Аудиторскими проверками внутреннего финансового аудита охвачено от 42,9% (включительно) до 57,2% объектов внутреннего финансового аудита, подведомственных главному распорядителю (распорядителю)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балла)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Аудиторскими проверками внутреннего финансового аудита охвачено от 57,2% (включительно) до 71,5% объектов внутреннего финансового аудита, подведомственных главному распорядителю (распорядителю)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баллов)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Аудиторскими проверками внутреннего финансового аудита охвачено от 71,5% (включительно) до 85,8% объектов внутреннего финансового аудита, подведомственных главному распорядителю (распорядителю)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 баллов)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9B7D22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Аудиторскими проверками внутреннего финансового аудита охвачено от 85,8% (включительно) до 100% (включительно) объектов внутреннего финансового аудита, подведомственных главному распорядителю (распорядителю)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баллов)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охвата аудиторскими проверками объектов внутреннего финансового аудита, подведомственных главному администратору (администратору) доходов 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(заполняется в случае наличия таких объектов), по данным отчетного года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Аудиторскими проверками внутреннего финансового аудита охвачено от 0 (включительно) до 14,3% объектов внутреннего финансового аудита, подведомственных главному администратору (администратору) доходов 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Аудиторскими проверками внутреннего финансового аудита охвачено от 14,3% (включительно) до 28,6% объектов внутреннего финансового аудита, подведомственных главному администратору (администратору) доходов 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(2 балла)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Аудиторскими проверками внутреннего финансового аудита охвачено от 28,6% (включительно) до 42,9% объектов внутреннего финансового аудита, подведомственных главному администратору (администратору) доходов 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(3 балла)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Аудиторскими проверками внутреннего финансового аудита охвачено от 42,9% (включительно) до 57,2% объектов внутреннего финансового аудита, подведомственных главному администратору (администратору) доходов 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(4 балла)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Аудиторскими проверками внутреннего финансового аудита охвачено от 57,2% (включительно) до 71,5% объектов внутреннего финансового аудита, подведомственных главному администратору (администратору) доходов 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(5 баллов)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Аудиторскими проверками внутреннего финансового аудита охвачено от 71,5% (включительно) до 85,8% объектов внутреннего финансового аудита, подведомственных главному администратору (администратору) доходов 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(6 баллов)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C6E2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Аудиторскими проверками внутреннего финансового аудита охвачено от 85,8% до 100% (включительно) объектов внутреннего финансового аудита, подведомственных главному администратору (администратору) доходов 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0C6E25">
        <w:rPr>
          <w:rFonts w:ascii="Times New Roman" w:eastAsia="Times New Roman" w:hAnsi="Times New Roman" w:cs="Times New Roman"/>
          <w:sz w:val="28"/>
          <w:szCs w:val="28"/>
          <w:lang w:eastAsia="ru-RU"/>
        </w:rPr>
        <w:t>(7 баллов)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охвата аудиторскими проверками объектов внутреннего финансового аудита, подведомственных главному администратору (администратору) источников финансирования дефицита 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(заполняется в случае наличия таких объектов), по данным отчетного года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____Аудиторскими проверками внутреннего финансового аудита охвачено от 0 (включительно) до 14,3% объектов внутреннего финансового аудита, подведомственных главному администратору (администратору) источников финансирования дефицита 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0C6E25">
        <w:rPr>
          <w:rFonts w:ascii="Times New Roman" w:eastAsia="Times New Roman" w:hAnsi="Times New Roman" w:cs="Times New Roman"/>
          <w:sz w:val="28"/>
          <w:szCs w:val="28"/>
          <w:lang w:eastAsia="ru-RU"/>
        </w:rPr>
        <w:t>(1 балл)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____Аудиторскими проверками внутреннего финансового аудита охвачено от 14,3% (включительно) до 28,6% объектов внутреннего финансового аудита, подведомственных главному администратору (администратору) источников финансирования дефицита 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 w:rsidR="000C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балла)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____Аудиторскими проверками внутреннего финансового аудита охвачено от 28,6% (включительно) до 42,9% объектов внутреннего финансового аудита, подведомственных главному администратору (администратору) источников финансирования дефицита 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0C6E25">
        <w:rPr>
          <w:rFonts w:ascii="Times New Roman" w:eastAsia="Times New Roman" w:hAnsi="Times New Roman" w:cs="Times New Roman"/>
          <w:sz w:val="28"/>
          <w:szCs w:val="28"/>
          <w:lang w:eastAsia="ru-RU"/>
        </w:rPr>
        <w:t>(3 балла)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____Аудиторскими проверками внутреннего финансового аудита охвачено от 42,9% (включительно) до 57,2% объектов внутреннего финансового аудита, подведомственных главному администратору (администратору) источников финансирования дефицита 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0C6E25">
        <w:rPr>
          <w:rFonts w:ascii="Times New Roman" w:eastAsia="Times New Roman" w:hAnsi="Times New Roman" w:cs="Times New Roman"/>
          <w:sz w:val="28"/>
          <w:szCs w:val="28"/>
          <w:lang w:eastAsia="ru-RU"/>
        </w:rPr>
        <w:t>(4 балла)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____Аудиторскими проверками внутреннего финансового аудита охвачено от 57,2% (включительно) до 71,5% объектов внутреннего финансового аудита, подведомственных главному администратору (администратору) источников финансирования дефицита 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0C6E25">
        <w:rPr>
          <w:rFonts w:ascii="Times New Roman" w:eastAsia="Times New Roman" w:hAnsi="Times New Roman" w:cs="Times New Roman"/>
          <w:sz w:val="28"/>
          <w:szCs w:val="28"/>
          <w:lang w:eastAsia="ru-RU"/>
        </w:rPr>
        <w:t>(5 баллов)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____Аудиторскими проверками внутреннего финансового аудита охвачено от 71,5% (включительно) до 85,8% объектов внутреннего финансового аудита, подведомственных главному администратору (администратору) источников финансирования дефицита 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0C6E25">
        <w:rPr>
          <w:rFonts w:ascii="Times New Roman" w:eastAsia="Times New Roman" w:hAnsi="Times New Roman" w:cs="Times New Roman"/>
          <w:sz w:val="28"/>
          <w:szCs w:val="28"/>
          <w:lang w:eastAsia="ru-RU"/>
        </w:rPr>
        <w:t>(6 баллов)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____Аудиторскими проверками внутреннего финансового аудита охвачено от 85,8% (включительно) до 100% (включительно) объектов внутреннего финансового аудита, главному администратору (администратору) источников финансирования дефицита </w:t>
      </w:r>
      <w:r w:rsidR="009B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0C6E25">
        <w:rPr>
          <w:rFonts w:ascii="Times New Roman" w:eastAsia="Times New Roman" w:hAnsi="Times New Roman" w:cs="Times New Roman"/>
          <w:sz w:val="28"/>
          <w:szCs w:val="28"/>
          <w:lang w:eastAsia="ru-RU"/>
        </w:rPr>
        <w:t>(7 баллов)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71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процедур проведения аудиторских проверок нормативным правовым актам в сфере внутреннего финансового аудита (методы аудита, наличие аудиторских доказательств, документы, подготавливаемые и получаемые в ходе проведения аудиторской проверки, и др.)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Аудиторские проверки не проводятся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Аудиторские проверки проводятся, но процедуры их проведения не соответствуют нормативным правовым актам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финансового аудита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балла)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Аудиторские проверки проводятся в порядке, утвержденном нормативным правовым актам в сфере внутреннего финансового аудита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баллов)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субъектом внутреннего финансового аудита порядка составления и представления отчета о результатах аудиторских проверок объектов внутреннего финансового аудита и годовой отчетности о результатах осуществления внутреннего финансового аудита, проведенных субъектом внутреннего финансового аудита, реализацию замечаний и рекомендаций субъекта внутреннего финансового аудита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субъектом внутреннего финансового аудита порядка составления и представления отчета о результатах аудиторских проверок объектов внутреннего финансового аудита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соблюдается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Соблюдается частично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балла)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Соблюдается в полной 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баллов)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субъектом внутреннего финансового аудита порядка составления и представления годовой отчетности о результатах осуществления внутреннего финансового аудита, проведенных субъектом внутреннего финансового аудита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соблюдается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балл).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Соблюдается частично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балла)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Соблюдается в полной 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баллов)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331D0A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4.3. 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руководством главного администратора бюджетных средств, администратора бюджетных средств результатов деятельности субъекта внутреннего аудита на основании отчетности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анализируются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баллов)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реализации главным администратором бюджетных средств, администратором бюджетных средств аудиторских выводов, предложений и рекомендаций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рекомендации не реализуются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Реализуются частично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балла)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6E25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Реализуются полностью и существует отчетность о результатах принятых 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баллов)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субъекта внутреннего финансового аудита со Счетной палатой и другими органами финансового контроля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865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1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Анализируется ли субъектом внутреннего финансового аудита информация о результатах устранения нарушений и недостатков, выявленных в его деятельности в ходе проверок и анализа эффективности внутреннего финансового аудита, проведенных Счетной палатой и другими органами финансового контроля</w:t>
      </w:r>
    </w:p>
    <w:p w:rsidR="000C0FFE" w:rsidRPr="00885F21" w:rsidRDefault="000C0FFE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0FFE" w:rsidRPr="00885F21" w:rsidRDefault="00B86506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анализируется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балл).</w:t>
      </w:r>
    </w:p>
    <w:p w:rsidR="000C0FFE" w:rsidRPr="00885F21" w:rsidRDefault="00B86506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Анализируется при составлении планов проведения аудиторских проверок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баллов)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FFE" w:rsidRPr="00885F21" w:rsidRDefault="00B86506" w:rsidP="000C0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Анализируется при составлении планов проведения аудиторских проверок, принимаются меры по устранению нарушений и недостатков, выявленных по результатам проверок и анализа эффективности внутреннего финансового аудита, проведенных Счетной палатой и другими органами финансового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баллов)</w:t>
      </w:r>
      <w:r w:rsidR="000C0FFE"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506" w:rsidRDefault="000C0FFE" w:rsidP="00B8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sectPr w:rsidR="00B865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85F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6506" w:rsidRPr="00B86506" w:rsidRDefault="00B86506" w:rsidP="00B8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Интегральная оценка</w:t>
      </w:r>
    </w:p>
    <w:p w:rsidR="00B86506" w:rsidRPr="00B86506" w:rsidRDefault="00B86506" w:rsidP="00B8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внутреннего финансового аудита</w:t>
      </w:r>
    </w:p>
    <w:p w:rsidR="00B86506" w:rsidRPr="00B86506" w:rsidRDefault="00B86506" w:rsidP="00B8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0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1499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85"/>
        <w:gridCol w:w="486"/>
        <w:gridCol w:w="440"/>
        <w:gridCol w:w="440"/>
        <w:gridCol w:w="440"/>
        <w:gridCol w:w="440"/>
        <w:gridCol w:w="862"/>
        <w:gridCol w:w="851"/>
        <w:gridCol w:w="992"/>
        <w:gridCol w:w="992"/>
        <w:gridCol w:w="992"/>
        <w:gridCol w:w="854"/>
        <w:gridCol w:w="850"/>
        <w:gridCol w:w="851"/>
        <w:gridCol w:w="1134"/>
        <w:gridCol w:w="1701"/>
        <w:gridCol w:w="1701"/>
      </w:tblGrid>
      <w:tr w:rsidR="00687CE2" w:rsidRPr="00B86506" w:rsidTr="00F52C70">
        <w:tc>
          <w:tcPr>
            <w:tcW w:w="1329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E2" w:rsidRPr="00B86506" w:rsidRDefault="00687CE2" w:rsidP="00B86506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для оценки организации внутреннего финансового аудита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CE2" w:rsidRPr="00B86506" w:rsidRDefault="00687CE2" w:rsidP="00687CE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оценка (</w:t>
            </w:r>
            <w:r w:rsidRPr="001D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графы 1 + 2 + ... 17</w:t>
            </w: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/ количество заполненных граф)</w:t>
            </w:r>
          </w:p>
        </w:tc>
      </w:tr>
      <w:tr w:rsidR="00687CE2" w:rsidRPr="00B86506" w:rsidTr="00F52C70">
        <w:tc>
          <w:tcPr>
            <w:tcW w:w="1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7CE2" w:rsidRPr="00B86506" w:rsidRDefault="00687CE2" w:rsidP="00B86506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структура внутреннего финансового аудита</w:t>
            </w:r>
          </w:p>
        </w:tc>
        <w:tc>
          <w:tcPr>
            <w:tcW w:w="17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7CE2" w:rsidRPr="00B86506" w:rsidRDefault="00687CE2" w:rsidP="00B86506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планирование внутреннего финансового аудита</w:t>
            </w:r>
          </w:p>
        </w:tc>
        <w:tc>
          <w:tcPr>
            <w:tcW w:w="46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E2" w:rsidRPr="00B86506" w:rsidRDefault="00687CE2" w:rsidP="00B86506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осуществления внутреннего финансового аудита, включая степень охвата аудиторскими проверками объектов внутреннего финансового аудита, подведомственных главному администратору бюджетных средств, администратору бюджетных средств</w:t>
            </w:r>
          </w:p>
        </w:tc>
        <w:tc>
          <w:tcPr>
            <w:tcW w:w="36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7CE2" w:rsidRPr="00B86506" w:rsidRDefault="00687CE2" w:rsidP="00B86506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субъектом внутреннего финансового аудита порядка составления и представления отчета о результатах аудиторских проверок объектов внутреннего финансового аудита и годовой отчетности о результатах осуществления внутреннего финансового аудита, проведенных субъектом внутреннего финансового аудита, реализацию замечаний и рекомендаций субъекта внутреннего финансового аудита.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7CE2" w:rsidRPr="00B86506" w:rsidRDefault="00687CE2" w:rsidP="00985873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субъекта внутреннего финансового аудита со Счетной палатой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другими органами</w:t>
            </w: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финансового контроля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7CE2" w:rsidRPr="00B86506" w:rsidRDefault="00687CE2" w:rsidP="00B8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CE2" w:rsidRPr="00B86506" w:rsidTr="00F52C70"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87"/>
            <w:bookmarkEnd w:id="3"/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985873" w:rsidRDefault="00A3335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A33352" w:rsidRDefault="00A3335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985873" w:rsidRDefault="00A3335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4" w:name="p103"/>
            <w:bookmarkEnd w:id="4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3352" w:rsidRPr="00B86506" w:rsidRDefault="00687CE2" w:rsidP="0068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87CE2" w:rsidRPr="00B86506" w:rsidTr="00F52C70">
        <w:trPr>
          <w:trHeight w:val="60"/>
        </w:trPr>
        <w:tc>
          <w:tcPr>
            <w:tcW w:w="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7CE2" w:rsidRPr="00B86506" w:rsidRDefault="00687CE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7CE2" w:rsidRPr="00B86506" w:rsidRDefault="00687CE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87CE2" w:rsidRPr="00985873" w:rsidRDefault="00687CE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7CE2" w:rsidRPr="00B86506" w:rsidRDefault="00687CE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7CE2" w:rsidRPr="00B86506" w:rsidRDefault="00687CE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7CE2" w:rsidRPr="00B86506" w:rsidRDefault="00687CE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7CE2" w:rsidRPr="00B86506" w:rsidRDefault="00687CE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7CE2" w:rsidRPr="00B86506" w:rsidRDefault="00687CE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E2" w:rsidRPr="00B86506" w:rsidRDefault="00687CE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E2" w:rsidRPr="00B86506" w:rsidRDefault="00687CE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7CE2" w:rsidRPr="00A33352" w:rsidRDefault="00687CE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7CE2" w:rsidRPr="00B86506" w:rsidRDefault="00687CE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687CE2" w:rsidRPr="00B86506" w:rsidRDefault="00687CE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CE2" w:rsidRPr="00B86506" w:rsidRDefault="00687CE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CE2" w:rsidRPr="00B86506" w:rsidRDefault="00687CE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CE2" w:rsidRPr="00B86506" w:rsidRDefault="00687CE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CE2" w:rsidRPr="00985873" w:rsidRDefault="00687CE2" w:rsidP="00A3335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687CE2" w:rsidRPr="00B86506" w:rsidRDefault="00687CE2" w:rsidP="00A33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CE2" w:rsidRPr="00B86506" w:rsidTr="00F52C70">
        <w:tc>
          <w:tcPr>
            <w:tcW w:w="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7CE2" w:rsidRPr="00B86506" w:rsidRDefault="00687CE2" w:rsidP="00A33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7CE2" w:rsidRPr="00B86506" w:rsidRDefault="00687CE2" w:rsidP="00A33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7CE2" w:rsidRPr="00B86506" w:rsidRDefault="00687CE2" w:rsidP="00A33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7CE2" w:rsidRPr="00B86506" w:rsidRDefault="00687CE2" w:rsidP="00A33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7CE2" w:rsidRPr="00B86506" w:rsidRDefault="00687CE2" w:rsidP="00A33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7CE2" w:rsidRPr="00B86506" w:rsidRDefault="00687CE2" w:rsidP="00A33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7CE2" w:rsidRPr="00B86506" w:rsidRDefault="00687CE2" w:rsidP="00A33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E2" w:rsidRPr="00B86506" w:rsidRDefault="00687CE2" w:rsidP="00A33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указанным вопросам графы не заполняются в случае отсутствия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соответствующих </w:t>
            </w: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администраторов</w:t>
            </w: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бюджетных средств</w:t>
            </w:r>
          </w:p>
        </w:tc>
        <w:tc>
          <w:tcPr>
            <w:tcW w:w="85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7CE2" w:rsidRPr="00B86506" w:rsidRDefault="00687CE2" w:rsidP="00A33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7CE2" w:rsidRPr="00B86506" w:rsidRDefault="00687CE2" w:rsidP="00A33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7CE2" w:rsidRPr="00B86506" w:rsidRDefault="00687CE2" w:rsidP="00A33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7CE2" w:rsidRPr="00B86506" w:rsidRDefault="00687CE2" w:rsidP="00A33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7CE2" w:rsidRPr="00B86506" w:rsidRDefault="00687CE2" w:rsidP="00A33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7CE2" w:rsidRPr="00B86506" w:rsidRDefault="00687CE2" w:rsidP="00A33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CE2" w:rsidRPr="00B86506" w:rsidTr="00F52C70">
        <w:tc>
          <w:tcPr>
            <w:tcW w:w="1329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E2" w:rsidRPr="00B86506" w:rsidRDefault="00687CE2" w:rsidP="00687CE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Проставляются оценки выбранных вариантов ответов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E2" w:rsidRPr="00B86506" w:rsidRDefault="00687CE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CE2" w:rsidRPr="00B86506" w:rsidTr="00F52C70"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687CE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3352" w:rsidRPr="00B86506" w:rsidRDefault="00A33352" w:rsidP="00A33352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52C70" w:rsidRDefault="00F52C70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201" w:rsidRPr="00C60201" w:rsidRDefault="00FE0315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331D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стандарту внешнего</w:t>
      </w:r>
    </w:p>
    <w:p w:rsidR="00C60201" w:rsidRPr="00C60201" w:rsidRDefault="00FE0315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финансового 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</w:p>
    <w:p w:rsidR="00C60201" w:rsidRPr="00C60201" w:rsidRDefault="00FE0315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 анализ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внутреннего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аудита</w:t>
      </w:r>
      <w:r w:rsidR="00FE03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аудиторских проверок,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 субъектом внутреннего финансового аудита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главного администратора бюджетных средств,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 бюджетных средств)</w:t>
      </w:r>
    </w:p>
    <w:p w:rsidR="00C60201" w:rsidRPr="00C60201" w:rsidRDefault="00C60201" w:rsidP="00FE0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7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709"/>
        <w:gridCol w:w="567"/>
        <w:gridCol w:w="851"/>
        <w:gridCol w:w="992"/>
        <w:gridCol w:w="992"/>
        <w:gridCol w:w="709"/>
        <w:gridCol w:w="992"/>
        <w:gridCol w:w="709"/>
        <w:gridCol w:w="850"/>
        <w:gridCol w:w="851"/>
        <w:gridCol w:w="1843"/>
        <w:gridCol w:w="1275"/>
        <w:gridCol w:w="1134"/>
        <w:gridCol w:w="1480"/>
        <w:gridCol w:w="12"/>
      </w:tblGrid>
      <w:tr w:rsidR="00C60201" w:rsidRPr="00C60201" w:rsidTr="00FE0315"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бюджетных средств, в отношении которых проведены аудиторские проверки субъектом внутреннего финансового аудита (в случае наличия в соответствующей отчетности) (тыс. рублей)</w:t>
            </w:r>
          </w:p>
        </w:tc>
        <w:tc>
          <w:tcPr>
            <w:tcW w:w="65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Объемы выявленных нарушений по результатам аудиторских проверок субъекта внутреннего финансового аудита (тыс. рублей)</w:t>
            </w:r>
          </w:p>
        </w:tc>
        <w:tc>
          <w:tcPr>
            <w:tcW w:w="74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Принятые меры по устранению выявленных нарушений, в том числе:</w:t>
            </w:r>
          </w:p>
        </w:tc>
      </w:tr>
      <w:tr w:rsidR="00FE0315" w:rsidRPr="00FE0315" w:rsidTr="00FE0315">
        <w:tc>
          <w:tcPr>
            <w:tcW w:w="11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нецелевое использование бюджетных средств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FE0315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нарушения при осуществлении </w:t>
            </w:r>
            <w:r w:rsidR="00FE03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муниципальных </w:t>
            </w: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закупок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нарушения указаний о порядке применения бюджетной классификации Российской Федерации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нарушения налогового, таможенного, бюджетного и иного законодательства, в результате которых образовались потери доходов бюджета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FE0315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нарушения при работе с </w:t>
            </w:r>
            <w:r w:rsidR="00FE03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муниципальной </w:t>
            </w: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собственностью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нарушения учета и отчетности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нарушения условий предоставления бюджетных средств (бюджетных кредитов, межбюджетных трансфертов, бюджетных инвестиций, субсидий)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нарушения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возмещенные средства</w:t>
            </w:r>
          </w:p>
        </w:tc>
        <w:tc>
          <w:tcPr>
            <w:tcW w:w="57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к ответственности виновных должностных лиц, в том числе:</w:t>
            </w:r>
          </w:p>
        </w:tc>
      </w:tr>
      <w:tr w:rsidR="00FE0315" w:rsidRPr="00FE0315" w:rsidTr="00FE0315">
        <w:trPr>
          <w:gridAfter w:val="1"/>
          <w:wAfter w:w="12" w:type="dxa"/>
        </w:trPr>
        <w:tc>
          <w:tcPr>
            <w:tcW w:w="11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возмещенных средств (тыс. рублей)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% к объему средств, подлежащих возмещению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FE0315">
            <w:pPr>
              <w:tabs>
                <w:tab w:val="left" w:pos="60"/>
              </w:tabs>
              <w:spacing w:before="100" w:after="10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материальной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уголовной (кол-во должностных лиц)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административной и дисциплинарной (кол-во должностных лиц)</w:t>
            </w:r>
          </w:p>
        </w:tc>
      </w:tr>
      <w:tr w:rsidR="00FE0315" w:rsidRPr="00FE0315" w:rsidTr="00FE0315">
        <w:trPr>
          <w:gridAfter w:val="1"/>
          <w:wAfter w:w="12" w:type="dxa"/>
        </w:trPr>
        <w:tc>
          <w:tcPr>
            <w:tcW w:w="11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должностных лиц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(тыс. рублей)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0315" w:rsidRPr="00FE0315" w:rsidTr="00FE0315">
        <w:trPr>
          <w:gridAfter w:val="1"/>
          <w:wAfter w:w="12" w:type="dxa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FE0315" w:rsidRPr="00FE0315" w:rsidTr="00FE0315">
        <w:trPr>
          <w:gridAfter w:val="1"/>
          <w:wAfter w:w="12" w:type="dxa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0315" w:rsidRPr="00FE0315" w:rsidTr="00FE0315">
        <w:trPr>
          <w:gridAfter w:val="1"/>
          <w:wAfter w:w="12" w:type="dxa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0315" w:rsidRPr="00FE0315" w:rsidTr="00FE0315">
        <w:trPr>
          <w:gridAfter w:val="1"/>
          <w:wAfter w:w="12" w:type="dxa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Default="00C602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0201" w:rsidSect="00796CAC">
          <w:pgSz w:w="16838" w:h="11906" w:orient="landscape"/>
          <w:pgMar w:top="1701" w:right="395" w:bottom="851" w:left="1134" w:header="709" w:footer="709" w:gutter="0"/>
          <w:cols w:space="708"/>
          <w:docGrid w:linePitch="360"/>
        </w:sectPr>
      </w:pP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E031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31D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E0315" w:rsidRPr="00C60201" w:rsidRDefault="00FE0315" w:rsidP="00FE0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стандарту внешнего</w:t>
      </w:r>
    </w:p>
    <w:p w:rsidR="00FE0315" w:rsidRPr="00C60201" w:rsidRDefault="00FE0315" w:rsidP="00FE0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финансового </w:t>
      </w: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</w:p>
    <w:p w:rsidR="00FE0315" w:rsidRPr="00C60201" w:rsidRDefault="00FE0315" w:rsidP="00FE0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 анализ</w:t>
      </w:r>
    </w:p>
    <w:p w:rsidR="00FE0315" w:rsidRPr="00C60201" w:rsidRDefault="00FE0315" w:rsidP="00FE0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внутреннего</w:t>
      </w:r>
    </w:p>
    <w:p w:rsidR="00FE0315" w:rsidRPr="00C60201" w:rsidRDefault="00FE0315" w:rsidP="00FE0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аудита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 ДЛЯ ОЦЕНКИ РЕЗУЛЬТАТОВ ОСУЩЕСТВЛЕНИЯ ВНУТРЕННЕГО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АУДИТА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галочкой (V) соответствующий ответ: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31D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надежности внутреннего финансового контроля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366D49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 баллов)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366D49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балла)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31D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рекомендаций по повышению эффективности внутреннего финансового контроля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366D49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 баллов)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____Осуществляется не систематически</w:t>
      </w:r>
      <w:r w:rsidR="00366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балл)</w:t>
      </w: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____Осуществляется систематически</w:t>
      </w:r>
      <w:r w:rsidR="00366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баллов)</w:t>
      </w: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31D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соответствия порядка ведения бюджетного учета методологии и стандартам бюджетного учета, установленным Министерством финансов Российской Федерации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366D49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 баллов)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366D49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балла)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31D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достоверности бюджетной отчетности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FD4E2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осуществляется</w:t>
      </w:r>
      <w:r w:rsidR="00366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 баллов)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FD4E2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без применения риск-ориентированных подходов к организации деятельности по подтверждению достоверности бюджетной отчетности</w:t>
      </w:r>
      <w:r w:rsidR="00366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балл)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FD4E2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 применением риск-ориентированных подходов к организации деятельности по подтверждению достоверности бюджетной отчетности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балла)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331D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предложений по повышению экономности и результативности использования бюджетных средств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3E64CB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осуществляется</w:t>
      </w:r>
      <w:r w:rsidR="00FD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 Баллов)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3E64CB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не систематически</w:t>
      </w:r>
      <w:r w:rsidR="00FD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(1балл)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3E64CB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систематически</w:t>
      </w:r>
      <w:r w:rsidR="00FD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</w:t>
      </w:r>
      <w:r w:rsidR="0093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4E2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</w:t>
      </w:r>
      <w:r w:rsidR="00935A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D4E2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331D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нарушений, выявленных Счетной палатой и </w:t>
      </w:r>
      <w:r w:rsidR="0093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</w:t>
      </w: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финансового контроля, не вскрытых субъектом внутреннего финансового аудита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935AED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присутствуют</w:t>
      </w:r>
      <w:r w:rsidR="003E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 баллов)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935AED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отсутствуют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балла)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331D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аудиторских выводов, предложений и рекомендаций, сделанных субъектом внутреннего аудита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935AED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аудиторских выводов не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 баллов)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935AED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главного администратора бюджетных средств решение о недостаточной обоснованности аудиторских выводов, предложений и рекомендаций принято по более чем 50% аудиторских выводов, предложений и рекомендаций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балл)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935AED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главного администратора бюджетных средств решение о недостаточной обоснованности аудиторских выводов, предложений и рекомендаций принято по менее чем 50% аудиторских выводов, предложений и рекомендаций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балла)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935AED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главного администратора бюджетных средств принято решение о необходимости реализации 100% аудиторских выводов, предложений и рекомендаций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балла)</w:t>
      </w:r>
      <w:r w:rsidR="00C60201"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60201" w:rsidRPr="00C60201" w:rsidRDefault="00935AED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</w:t>
      </w:r>
      <w:r w:rsidR="00331D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Интегральная оценка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осуществления внутреннего финансового аудита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733"/>
        <w:gridCol w:w="732"/>
        <w:gridCol w:w="732"/>
        <w:gridCol w:w="732"/>
        <w:gridCol w:w="732"/>
        <w:gridCol w:w="732"/>
        <w:gridCol w:w="3933"/>
      </w:tblGrid>
      <w:tr w:rsidR="00C60201" w:rsidRPr="00C60201" w:rsidTr="00C60201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вопросов для оценки результатов осуществления внутреннего финансового аудита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оценка </w:t>
            </w:r>
            <w:r w:rsidRPr="001D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(графы 1 + 2 + ... 7)</w:t>
            </w: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количество заполненных граф)</w:t>
            </w:r>
          </w:p>
        </w:tc>
      </w:tr>
      <w:tr w:rsidR="00C60201" w:rsidRPr="00C60201" w:rsidTr="00C602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168"/>
            <w:bookmarkEnd w:id="5"/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169"/>
            <w:bookmarkEnd w:id="6"/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p174"/>
            <w:bookmarkEnd w:id="7"/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201" w:rsidRPr="00C60201" w:rsidTr="00C60201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Проставляются оценки выбранных вариантов ответов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0201" w:rsidRPr="00C60201" w:rsidTr="00C602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935AED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</w:t>
      </w:r>
      <w:r w:rsidR="001D77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Матрица оценки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внутреннего финансового аудита (ВФА)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201" w:rsidRPr="00C60201" w:rsidRDefault="00C60201" w:rsidP="00C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2125"/>
        <w:gridCol w:w="2175"/>
        <w:gridCol w:w="2212"/>
      </w:tblGrid>
      <w:tr w:rsidR="00C60201" w:rsidRPr="00C60201" w:rsidTr="00C6020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Интегральная оценка организации ВФА</w:t>
            </w:r>
          </w:p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 этап оценки)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Интегральная оценка результатов осуществления ВФА</w:t>
            </w:r>
          </w:p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(II этап оценки)</w:t>
            </w:r>
          </w:p>
        </w:tc>
      </w:tr>
      <w:tr w:rsidR="00C60201" w:rsidRPr="00C60201" w:rsidTr="00C6020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</w:tr>
      <w:tr w:rsidR="00C60201" w:rsidRPr="00C60201" w:rsidTr="00C602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C60201" w:rsidRPr="00C60201" w:rsidTr="00C602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НИЗКАЯ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СРЕДНЯЯ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СРЕДНЯЯ</w:t>
            </w:r>
          </w:p>
        </w:tc>
      </w:tr>
      <w:tr w:rsidR="00C60201" w:rsidRPr="00C60201" w:rsidTr="00C602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НИЗКАЯ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СРЕДНЯЯ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201" w:rsidRPr="00C60201" w:rsidRDefault="00C60201" w:rsidP="00C6020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ВЫСОКАЯ</w:t>
            </w:r>
          </w:p>
        </w:tc>
      </w:tr>
    </w:tbl>
    <w:p w:rsidR="00E12EF9" w:rsidRDefault="00E12EF9" w:rsidP="00A268FD">
      <w:pPr>
        <w:pStyle w:val="Default"/>
        <w:rPr>
          <w:b/>
          <w:bCs/>
          <w:color w:val="auto"/>
          <w:sz w:val="28"/>
          <w:szCs w:val="28"/>
        </w:rPr>
      </w:pPr>
    </w:p>
    <w:sectPr w:rsidR="00E12EF9" w:rsidSect="00C60201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1A106A"/>
    <w:multiLevelType w:val="hybridMultilevel"/>
    <w:tmpl w:val="EA1B74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4CD7D4"/>
    <w:multiLevelType w:val="hybridMultilevel"/>
    <w:tmpl w:val="5E07E8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7AD374"/>
    <w:multiLevelType w:val="hybridMultilevel"/>
    <w:tmpl w:val="74203C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1546B0"/>
    <w:multiLevelType w:val="hybridMultilevel"/>
    <w:tmpl w:val="1C1E6A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6A7DF2"/>
    <w:multiLevelType w:val="hybridMultilevel"/>
    <w:tmpl w:val="24DED12E"/>
    <w:lvl w:ilvl="0" w:tplc="8968E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876E7"/>
    <w:multiLevelType w:val="hybridMultilevel"/>
    <w:tmpl w:val="BF2694F8"/>
    <w:lvl w:ilvl="0" w:tplc="424E3EE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093E0"/>
    <w:multiLevelType w:val="hybridMultilevel"/>
    <w:tmpl w:val="B7C3A5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3C5CBC"/>
    <w:multiLevelType w:val="hybridMultilevel"/>
    <w:tmpl w:val="CD5A6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121B1"/>
    <w:multiLevelType w:val="hybridMultilevel"/>
    <w:tmpl w:val="73422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0D27F"/>
    <w:multiLevelType w:val="hybridMultilevel"/>
    <w:tmpl w:val="D7A656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FD"/>
    <w:rsid w:val="00015094"/>
    <w:rsid w:val="0003018B"/>
    <w:rsid w:val="000A0801"/>
    <w:rsid w:val="000A4D0A"/>
    <w:rsid w:val="000C0FFE"/>
    <w:rsid w:val="000C6E25"/>
    <w:rsid w:val="001736A5"/>
    <w:rsid w:val="001D7737"/>
    <w:rsid w:val="001E3CEE"/>
    <w:rsid w:val="00255605"/>
    <w:rsid w:val="002C4164"/>
    <w:rsid w:val="002D3817"/>
    <w:rsid w:val="003026A8"/>
    <w:rsid w:val="00331D0A"/>
    <w:rsid w:val="00366D49"/>
    <w:rsid w:val="003E64CB"/>
    <w:rsid w:val="00467BB5"/>
    <w:rsid w:val="00502B5C"/>
    <w:rsid w:val="005D6B0D"/>
    <w:rsid w:val="005E0F5B"/>
    <w:rsid w:val="00623124"/>
    <w:rsid w:val="0062600D"/>
    <w:rsid w:val="00687CE2"/>
    <w:rsid w:val="00690A01"/>
    <w:rsid w:val="006A3ECF"/>
    <w:rsid w:val="006D6C90"/>
    <w:rsid w:val="006E10D5"/>
    <w:rsid w:val="00733ADD"/>
    <w:rsid w:val="00796CAC"/>
    <w:rsid w:val="007C0D97"/>
    <w:rsid w:val="00866919"/>
    <w:rsid w:val="00885F21"/>
    <w:rsid w:val="00911102"/>
    <w:rsid w:val="00935AED"/>
    <w:rsid w:val="00954F31"/>
    <w:rsid w:val="00960DA8"/>
    <w:rsid w:val="00985873"/>
    <w:rsid w:val="00996DC8"/>
    <w:rsid w:val="009B701D"/>
    <w:rsid w:val="009B7D22"/>
    <w:rsid w:val="009D6E03"/>
    <w:rsid w:val="00A268FD"/>
    <w:rsid w:val="00A33352"/>
    <w:rsid w:val="00A64FED"/>
    <w:rsid w:val="00B86506"/>
    <w:rsid w:val="00BB7ECB"/>
    <w:rsid w:val="00BC2907"/>
    <w:rsid w:val="00C17B6B"/>
    <w:rsid w:val="00C208D5"/>
    <w:rsid w:val="00C371DE"/>
    <w:rsid w:val="00C52FF1"/>
    <w:rsid w:val="00C60201"/>
    <w:rsid w:val="00C731E9"/>
    <w:rsid w:val="00CD216B"/>
    <w:rsid w:val="00D1128C"/>
    <w:rsid w:val="00D35CF4"/>
    <w:rsid w:val="00D40E3F"/>
    <w:rsid w:val="00DD5DAA"/>
    <w:rsid w:val="00DE56C5"/>
    <w:rsid w:val="00DF127B"/>
    <w:rsid w:val="00E12EF9"/>
    <w:rsid w:val="00E90BE7"/>
    <w:rsid w:val="00EB4A48"/>
    <w:rsid w:val="00EB5D31"/>
    <w:rsid w:val="00EC16D6"/>
    <w:rsid w:val="00F003A2"/>
    <w:rsid w:val="00F007F4"/>
    <w:rsid w:val="00F14892"/>
    <w:rsid w:val="00F52C70"/>
    <w:rsid w:val="00FD4E21"/>
    <w:rsid w:val="00FE0315"/>
    <w:rsid w:val="00FF08D1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DADA3-E3CB-480E-9344-72645DF1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6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8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52FF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2FF1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mf2.consultant.ru/static4021_00_20_553877/document_notes_inner.htm?" TargetMode="External"/><Relationship Id="rId13" Type="http://schemas.openxmlformats.org/officeDocument/2006/relationships/hyperlink" Target="https://login.consultant.ru/link/?req=doc&amp;base=LAW&amp;n=216253&amp;dst=100284&amp;field=134&amp;date=10.02.2022" TargetMode="External"/><Relationship Id="rId18" Type="http://schemas.openxmlformats.org/officeDocument/2006/relationships/hyperlink" Target="https://login.consultant.ru/link/?req=doc&amp;base=LAW&amp;n=216253&amp;dst=100364&amp;field=134&amp;date=10.02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vmf2.consultant.ru/static4021_00_20_553877/document_notes_inner.htm?" TargetMode="External"/><Relationship Id="rId12" Type="http://schemas.openxmlformats.org/officeDocument/2006/relationships/hyperlink" Target="https://ovmf2.consultant.ru/static4021_00_20_553877/document_notes_inner.htm?" TargetMode="External"/><Relationship Id="rId17" Type="http://schemas.openxmlformats.org/officeDocument/2006/relationships/hyperlink" Target="https://login.consultant.ru/link/?req=doc&amp;base=LAW&amp;n=216253&amp;dst=100354&amp;field=134&amp;date=10.02.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216253&amp;dst=100351&amp;field=134&amp;date=10.02.202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7026&amp;dst=3637&amp;field=134&amp;date=10.02.2022" TargetMode="External"/><Relationship Id="rId11" Type="http://schemas.openxmlformats.org/officeDocument/2006/relationships/hyperlink" Target="https://login.consultant.ru/link/?req=doc&amp;base=LAW&amp;n=216253&amp;dst=100239&amp;field=134&amp;date=10.02.2022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login.consultant.ru/link/?req=doc&amp;base=LAW&amp;n=216253&amp;dst=100322&amp;field=134&amp;date=10.02.2022" TargetMode="External"/><Relationship Id="rId10" Type="http://schemas.openxmlformats.org/officeDocument/2006/relationships/hyperlink" Target="https://login.consultant.ru/link/?req=doc&amp;base=LAW&amp;n=216253&amp;dst=100236&amp;field=134&amp;date=10.02.202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vmf2.consultant.ru/static4021_00_20_553877/document_notes_inner.htm?" TargetMode="External"/><Relationship Id="rId14" Type="http://schemas.openxmlformats.org/officeDocument/2006/relationships/hyperlink" Target="https://login.consultant.ru/link/?req=doc&amp;base=LAW&amp;n=216253&amp;dst=100322&amp;field=134&amp;date=10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7239</Words>
  <Characters>41265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Сетяева Оксана Владимировна</cp:lastModifiedBy>
  <cp:revision>3</cp:revision>
  <dcterms:created xsi:type="dcterms:W3CDTF">2025-01-15T11:40:00Z</dcterms:created>
  <dcterms:modified xsi:type="dcterms:W3CDTF">2025-01-15T11:43:00Z</dcterms:modified>
</cp:coreProperties>
</file>