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99137F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2641D9">
      <w:pPr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787EB7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двусторонн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</w:t>
      </w:r>
      <w:r w:rsidR="00E52F0B" w:rsidRPr="00675074">
        <w:rPr>
          <w:sz w:val="25"/>
          <w:szCs w:val="25"/>
        </w:rPr>
        <w:t>з</w:t>
      </w:r>
      <w:r w:rsidR="00E52F0B" w:rsidRPr="00675074">
        <w:rPr>
          <w:sz w:val="25"/>
          <w:szCs w:val="25"/>
        </w:rPr>
        <w:t>граничения государственной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</w:t>
      </w:r>
      <w:r w:rsidR="00B24D87" w:rsidRPr="00675074">
        <w:rPr>
          <w:sz w:val="25"/>
          <w:szCs w:val="25"/>
        </w:rPr>
        <w:t>и</w:t>
      </w:r>
      <w:r w:rsidR="00B24D87" w:rsidRPr="00675074">
        <w:rPr>
          <w:sz w:val="25"/>
          <w:szCs w:val="25"/>
        </w:rPr>
        <w:t>ального разме</w:t>
      </w:r>
      <w:r w:rsidR="00A63537" w:rsidRPr="00675074">
        <w:rPr>
          <w:sz w:val="25"/>
          <w:szCs w:val="25"/>
        </w:rPr>
        <w:t>щения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</w:t>
      </w:r>
      <w:r w:rsidR="005A5253" w:rsidRPr="00675074">
        <w:rPr>
          <w:sz w:val="25"/>
          <w:szCs w:val="25"/>
        </w:rPr>
        <w:t>о</w:t>
      </w:r>
      <w:r w:rsidR="005A5253" w:rsidRPr="00675074">
        <w:rPr>
          <w:sz w:val="25"/>
          <w:szCs w:val="25"/>
        </w:rPr>
        <w:t>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разрешительной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  <w:proofErr w:type="gramEnd"/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–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– </w:t>
      </w:r>
      <w:r w:rsidR="00D879BA" w:rsidRPr="00675074">
        <w:rPr>
          <w:sz w:val="25"/>
          <w:szCs w:val="25"/>
        </w:rPr>
        <w:t>3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FF0CE6" w:rsidRPr="00675074">
        <w:rPr>
          <w:sz w:val="25"/>
          <w:szCs w:val="25"/>
        </w:rPr>
        <w:t>–</w:t>
      </w:r>
      <w:r w:rsidRPr="00675074">
        <w:rPr>
          <w:sz w:val="25"/>
          <w:szCs w:val="25"/>
        </w:rPr>
        <w:t xml:space="preserve"> </w:t>
      </w:r>
      <w:r w:rsidR="0051562F" w:rsidRPr="00675074">
        <w:rPr>
          <w:sz w:val="25"/>
          <w:szCs w:val="25"/>
        </w:rPr>
        <w:t>2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03BE1" w:rsidRPr="00703BE1">
        <w:rPr>
          <w:sz w:val="25"/>
          <w:szCs w:val="25"/>
        </w:rPr>
        <w:t xml:space="preserve">г. Нижневартовск, ул. Северная, </w:t>
      </w:r>
      <w:r w:rsidR="006E215A">
        <w:rPr>
          <w:sz w:val="25"/>
          <w:szCs w:val="25"/>
        </w:rPr>
        <w:t>23</w:t>
      </w:r>
      <w:r w:rsidR="00AF3B17">
        <w:rPr>
          <w:sz w:val="25"/>
          <w:szCs w:val="25"/>
        </w:rPr>
        <w:t>, строение 1</w:t>
      </w:r>
      <w:r w:rsidR="006E215A">
        <w:rPr>
          <w:sz w:val="25"/>
          <w:szCs w:val="25"/>
        </w:rPr>
        <w:t xml:space="preserve"> </w:t>
      </w:r>
      <w:r w:rsidR="00703BE1" w:rsidRPr="00703BE1">
        <w:rPr>
          <w:sz w:val="25"/>
          <w:szCs w:val="25"/>
        </w:rPr>
        <w:t xml:space="preserve">(в районе </w:t>
      </w:r>
      <w:r w:rsidR="006E215A">
        <w:rPr>
          <w:sz w:val="25"/>
          <w:szCs w:val="25"/>
        </w:rPr>
        <w:t>дом</w:t>
      </w:r>
      <w:r w:rsidR="00703BE1" w:rsidRPr="00703BE1">
        <w:rPr>
          <w:sz w:val="25"/>
          <w:szCs w:val="25"/>
        </w:rPr>
        <w:t>а, не</w:t>
      </w:r>
      <w:r w:rsidR="00703BE1">
        <w:rPr>
          <w:sz w:val="25"/>
          <w:szCs w:val="25"/>
        </w:rPr>
        <w:t>четная стор</w:t>
      </w:r>
      <w:r w:rsidR="00703BE1">
        <w:rPr>
          <w:sz w:val="25"/>
          <w:szCs w:val="25"/>
        </w:rPr>
        <w:t>о</w:t>
      </w:r>
      <w:r w:rsidR="00703BE1">
        <w:rPr>
          <w:sz w:val="25"/>
          <w:szCs w:val="25"/>
        </w:rPr>
        <w:t>на)</w:t>
      </w:r>
      <w:r w:rsidR="00AD14E5"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 xml:space="preserve">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 xml:space="preserve">тического поступления платежа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 xml:space="preserve">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 xml:space="preserve">глашению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5C4757" w:rsidRDefault="005C475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E215A" w:rsidRDefault="006E215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4.3. Восстановить нарушенное благоустройство </w:t>
      </w:r>
      <w:r w:rsidR="001F3EF3">
        <w:rPr>
          <w:noProof/>
          <w:sz w:val="25"/>
          <w:szCs w:val="25"/>
        </w:rPr>
        <w:t xml:space="preserve">территории </w:t>
      </w:r>
      <w:r w:rsidRPr="00675074">
        <w:rPr>
          <w:noProof/>
          <w:sz w:val="25"/>
          <w:szCs w:val="25"/>
        </w:rPr>
        <w:t>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 xml:space="preserve">Опора </w:t>
      </w:r>
      <w:r w:rsidRPr="00675074">
        <w:rPr>
          <w:noProof/>
          <w:sz w:val="25"/>
          <w:szCs w:val="25"/>
        </w:rPr>
        <w:t xml:space="preserve">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–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75ABA" w:rsidRPr="00675074" w:rsidRDefault="00575AB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lastRenderedPageBreak/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–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10. Форс - мажор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B202AF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B202AF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</w:t>
      </w:r>
      <w:r w:rsidR="008E078F" w:rsidRPr="00675074">
        <w:rPr>
          <w:noProof/>
          <w:sz w:val="25"/>
          <w:szCs w:val="25"/>
        </w:rPr>
        <w:t>семь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2641D9" w:rsidRPr="00675074" w:rsidRDefault="002641D9" w:rsidP="002641D9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03BE1" w:rsidRPr="00675074" w:rsidRDefault="00703BE1" w:rsidP="00703BE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5D51E5" w:rsidRDefault="00703BE1" w:rsidP="005D51E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. </w:t>
      </w:r>
      <w:r w:rsidR="005D51E5">
        <w:rPr>
          <w:sz w:val="25"/>
          <w:szCs w:val="25"/>
        </w:rPr>
        <w:t>Установка</w:t>
      </w:r>
      <w:r w:rsidR="005D51E5">
        <w:rPr>
          <w:color w:val="000000" w:themeColor="text1"/>
          <w:sz w:val="25"/>
          <w:szCs w:val="25"/>
        </w:rPr>
        <w:t xml:space="preserve"> и эксплуатация рекламного щита </w:t>
      </w:r>
      <w:proofErr w:type="spellStart"/>
      <w:r w:rsidR="005D51E5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5D51E5">
        <w:rPr>
          <w:color w:val="000000" w:themeColor="text1"/>
          <w:sz w:val="25"/>
          <w:szCs w:val="25"/>
        </w:rPr>
        <w:t xml:space="preserve"> ос</w:t>
      </w:r>
      <w:r w:rsidR="005D51E5">
        <w:rPr>
          <w:color w:val="000000" w:themeColor="text1"/>
          <w:sz w:val="25"/>
          <w:szCs w:val="25"/>
        </w:rPr>
        <w:t>у</w:t>
      </w:r>
      <w:r w:rsidR="005D51E5">
        <w:rPr>
          <w:color w:val="000000" w:themeColor="text1"/>
          <w:sz w:val="25"/>
          <w:szCs w:val="25"/>
        </w:rPr>
        <w:t xml:space="preserve">ществляется без подключения к сетям уличного освещения.  </w:t>
      </w:r>
    </w:p>
    <w:p w:rsidR="00703BE1" w:rsidRPr="00AB41D5" w:rsidRDefault="00AB41D5" w:rsidP="00AB41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12.3. </w:t>
      </w:r>
      <w:r>
        <w:rPr>
          <w:noProof/>
          <w:color w:val="000000" w:themeColor="text1"/>
          <w:sz w:val="25"/>
          <w:szCs w:val="25"/>
        </w:rPr>
        <w:t>Настоящий договор составлен на 4</w:t>
      </w:r>
      <w:r w:rsidR="00703BE1"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="00703BE1" w:rsidRPr="00675074">
        <w:rPr>
          <w:color w:val="000000" w:themeColor="text1"/>
          <w:sz w:val="25"/>
          <w:szCs w:val="25"/>
        </w:rPr>
        <w:t xml:space="preserve"> </w:t>
      </w:r>
      <w:r w:rsidR="00703BE1"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="00703BE1" w:rsidRPr="00675074">
        <w:rPr>
          <w:color w:val="000000" w:themeColor="text1"/>
          <w:sz w:val="25"/>
          <w:szCs w:val="25"/>
        </w:rPr>
        <w:t xml:space="preserve"> </w:t>
      </w:r>
      <w:r w:rsidR="00703BE1"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03BE1" w:rsidRPr="00675074" w:rsidRDefault="00703BE1" w:rsidP="00703BE1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AB41D5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3A34DE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2641D9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0E61A6" w:rsidRDefault="000E61A6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 В.В. Тихонов</w:t>
            </w:r>
          </w:p>
        </w:tc>
      </w:tr>
    </w:tbl>
    <w:p w:rsidR="001C792C" w:rsidRPr="00671177" w:rsidRDefault="00280AB5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1C792C" w:rsidRPr="00671177">
        <w:rPr>
          <w:rFonts w:eastAsia="SimSun"/>
          <w:sz w:val="18"/>
          <w:szCs w:val="18"/>
          <w:lang w:eastAsia="zh-CN"/>
        </w:rPr>
        <w:lastRenderedPageBreak/>
        <w:t>Приложение</w:t>
      </w:r>
      <w:r w:rsidR="00D1441C">
        <w:rPr>
          <w:rFonts w:eastAsia="SimSun"/>
          <w:sz w:val="18"/>
          <w:szCs w:val="18"/>
          <w:lang w:eastAsia="zh-CN"/>
        </w:rPr>
        <w:t xml:space="preserve"> 1</w:t>
      </w:r>
      <w:r w:rsidR="001C792C" w:rsidRPr="00671177">
        <w:rPr>
          <w:rFonts w:eastAsia="SimSun"/>
          <w:sz w:val="18"/>
          <w:szCs w:val="18"/>
          <w:lang w:eastAsia="zh-CN"/>
        </w:rPr>
        <w:t xml:space="preserve"> 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6F3976" w:rsidRDefault="006F3976" w:rsidP="006F397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02173" w:rsidRPr="0006131D" w:rsidRDefault="00C02173" w:rsidP="00C021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C02173" w:rsidRPr="0006131D" w:rsidRDefault="00C02173" w:rsidP="00C021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(по лоту №1)</w:t>
      </w:r>
    </w:p>
    <w:p w:rsidR="00C02173" w:rsidRDefault="00C02173" w:rsidP="00C0217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C02173" w:rsidRDefault="00C02173" w:rsidP="00C02173">
      <w:pPr>
        <w:autoSpaceDE w:val="0"/>
        <w:autoSpaceDN w:val="0"/>
        <w:adjustRightInd w:val="0"/>
        <w:ind w:left="-142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09824" behindDoc="0" locked="0" layoutInCell="1" allowOverlap="1" wp14:anchorId="2B4568B6" wp14:editId="20CECD36">
            <wp:simplePos x="0" y="0"/>
            <wp:positionH relativeFrom="column">
              <wp:posOffset>-39046</wp:posOffset>
            </wp:positionH>
            <wp:positionV relativeFrom="paragraph">
              <wp:posOffset>2457091</wp:posOffset>
            </wp:positionV>
            <wp:extent cx="3251835" cy="2425065"/>
            <wp:effectExtent l="0" t="0" r="0" b="0"/>
            <wp:wrapNone/>
            <wp:docPr id="10" name="Рисунок 10" descr="C:\Documents and Settings\Моргунов ИА\Мои документы\аукцион\аукцион 21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1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86" r="36617" b="36162"/>
                    <a:stretch/>
                  </pic:blipFill>
                  <pic:spPr bwMode="auto">
                    <a:xfrm>
                      <a:off x="0" y="0"/>
                      <a:ext cx="325183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A341D9" wp14:editId="6A21E245">
            <wp:extent cx="6480175" cy="4880299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73" w:rsidRDefault="00C02173" w:rsidP="00C0217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C02173" w:rsidRPr="006537A5" w:rsidTr="00810ACC">
        <w:tc>
          <w:tcPr>
            <w:tcW w:w="2093" w:type="dxa"/>
          </w:tcPr>
          <w:p w:rsidR="00C02173" w:rsidRPr="006537A5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C02173" w:rsidRPr="006537A5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C02173" w:rsidRPr="00F664AC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23, строение 1</w:t>
            </w: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(в районе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дома</w:t>
            </w: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 нечетная ст</w:t>
            </w: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рона)</w:t>
            </w:r>
          </w:p>
        </w:tc>
      </w:tr>
      <w:tr w:rsidR="00C02173" w:rsidRPr="006537A5" w:rsidTr="00810ACC">
        <w:tc>
          <w:tcPr>
            <w:tcW w:w="2093" w:type="dxa"/>
          </w:tcPr>
          <w:p w:rsidR="00C0217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C02173" w:rsidRPr="006537A5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C02173" w:rsidRPr="006537A5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C02173" w:rsidRDefault="00C02173" w:rsidP="00C02173">
      <w:pPr>
        <w:ind w:right="-1"/>
        <w:jc w:val="center"/>
        <w:rPr>
          <w:sz w:val="24"/>
          <w:szCs w:val="24"/>
        </w:rPr>
      </w:pP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№1</w:t>
      </w:r>
      <w:r>
        <w:rPr>
          <w:b/>
          <w:sz w:val="24"/>
          <w:szCs w:val="24"/>
        </w:rPr>
        <w:t>)</w:t>
      </w: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75"/>
        <w:gridCol w:w="1701"/>
        <w:gridCol w:w="392"/>
        <w:gridCol w:w="1309"/>
        <w:gridCol w:w="818"/>
      </w:tblGrid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950433.88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4420771.07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950435.22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4420768.39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950440.58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4420771.08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950439.24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754879">
              <w:rPr>
                <w:sz w:val="24"/>
                <w:szCs w:val="24"/>
                <w:lang w:val="en-US"/>
              </w:rPr>
              <w:t>4420773.76</w:t>
            </w:r>
          </w:p>
        </w:tc>
      </w:tr>
      <w:tr w:rsidR="00C02173" w:rsidTr="00810ACC">
        <w:trPr>
          <w:gridAfter w:val="1"/>
          <w:wAfter w:w="818" w:type="dxa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173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173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173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C02173" w:rsidRDefault="00C02173" w:rsidP="00C021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63201D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1CA8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D0B94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5D0C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63C0"/>
    <w:rsid w:val="00157778"/>
    <w:rsid w:val="00162065"/>
    <w:rsid w:val="001711FB"/>
    <w:rsid w:val="00173430"/>
    <w:rsid w:val="00177554"/>
    <w:rsid w:val="00185939"/>
    <w:rsid w:val="00186139"/>
    <w:rsid w:val="001960CA"/>
    <w:rsid w:val="001B12D7"/>
    <w:rsid w:val="001B4000"/>
    <w:rsid w:val="001B4373"/>
    <w:rsid w:val="001B4661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2F36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9468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0954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5A69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2889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1361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3903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32E04"/>
    <w:rsid w:val="00534458"/>
    <w:rsid w:val="0054256D"/>
    <w:rsid w:val="005463C4"/>
    <w:rsid w:val="00550BDF"/>
    <w:rsid w:val="005523FB"/>
    <w:rsid w:val="00554A8C"/>
    <w:rsid w:val="00560489"/>
    <w:rsid w:val="00560D49"/>
    <w:rsid w:val="005642E8"/>
    <w:rsid w:val="00571625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01D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7D6"/>
    <w:rsid w:val="006D4815"/>
    <w:rsid w:val="006D4D0C"/>
    <w:rsid w:val="006D5C44"/>
    <w:rsid w:val="006E0523"/>
    <w:rsid w:val="006E08DE"/>
    <w:rsid w:val="006E0BA6"/>
    <w:rsid w:val="006E215A"/>
    <w:rsid w:val="006E76F8"/>
    <w:rsid w:val="006F3976"/>
    <w:rsid w:val="006F4E84"/>
    <w:rsid w:val="006F6795"/>
    <w:rsid w:val="006F68EE"/>
    <w:rsid w:val="006F6A05"/>
    <w:rsid w:val="006F748D"/>
    <w:rsid w:val="006F7D35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7884"/>
    <w:rsid w:val="007B7C06"/>
    <w:rsid w:val="007C0815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0ACC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306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602A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DB9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387B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0EB1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1D5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031"/>
    <w:rsid w:val="00AE3290"/>
    <w:rsid w:val="00AE56CE"/>
    <w:rsid w:val="00AE5A29"/>
    <w:rsid w:val="00AF0896"/>
    <w:rsid w:val="00AF3B17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54C"/>
    <w:rsid w:val="00B50719"/>
    <w:rsid w:val="00B5495C"/>
    <w:rsid w:val="00B5792F"/>
    <w:rsid w:val="00B62E1F"/>
    <w:rsid w:val="00B64245"/>
    <w:rsid w:val="00B650B8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5D35"/>
    <w:rsid w:val="00BE6C9E"/>
    <w:rsid w:val="00BE760B"/>
    <w:rsid w:val="00BF294E"/>
    <w:rsid w:val="00BF3070"/>
    <w:rsid w:val="00C02173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5E6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4E32"/>
    <w:rsid w:val="00D57D50"/>
    <w:rsid w:val="00D60F5B"/>
    <w:rsid w:val="00D6304A"/>
    <w:rsid w:val="00D64485"/>
    <w:rsid w:val="00D6503E"/>
    <w:rsid w:val="00D67A0B"/>
    <w:rsid w:val="00D70E39"/>
    <w:rsid w:val="00D74AD3"/>
    <w:rsid w:val="00D80EF3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1F77"/>
    <w:rsid w:val="00DB2223"/>
    <w:rsid w:val="00DB3A8C"/>
    <w:rsid w:val="00DB5021"/>
    <w:rsid w:val="00DB5650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24F1"/>
    <w:rsid w:val="00EA5F56"/>
    <w:rsid w:val="00EA6994"/>
    <w:rsid w:val="00EB62C3"/>
    <w:rsid w:val="00EB63C4"/>
    <w:rsid w:val="00EC10F3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93247-FBFF-413A-B8DA-FC609D67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12728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2015-04-01T07:58:00Z</cp:lastPrinted>
  <dcterms:created xsi:type="dcterms:W3CDTF">2015-04-23T13:00:00Z</dcterms:created>
  <dcterms:modified xsi:type="dcterms:W3CDTF">2015-04-23T13:00:00Z</dcterms:modified>
</cp:coreProperties>
</file>