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16"/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16"/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ОБЪЯВЛЕНИЕ</w:t>
      </w:r>
      <w:r>
        <w:rPr>
          <w:highlight w:val="none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о проведении конкурса проектов (программ) в сфере профилактики незаконного потребления наркотических средств, психотропных веществ, антинаркотической пропаганды в 2025 году</w:t>
      </w:r>
      <w:r>
        <w:rPr>
          <w:highlight w:val="none"/>
        </w:rPr>
      </w:r>
      <w:r/>
    </w:p>
    <w:p>
      <w:pPr>
        <w:jc w:val="center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-2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4"/>
        <w:gridCol w:w="1049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Категории участников Конкурса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Муниципальные бюджетные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автономные учреждения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Нижневартовска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представления участникам Конкурса разъяснения положений объявления о проведении Конкурса, даты начала                        и окончания срока такого представления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ind w:left="142" w:right="142" w:firstLine="567"/>
              <w:jc w:val="both"/>
              <w:spacing w:after="0" w:line="283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Участник конкурса вправе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со дня, следующего за днем размещения объявления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о проведении конкурса и до 30.09.2025 направить в Уполно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моченный орган запрос о разъяснении положений объявления о проведении конкурса, подписанный участником конкурса либо лицом, уполномоченным на осуществление действий от имени участника конкурса, и скрепленный печатью (при наличии печати) участника конкурса.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567"/>
              <w:jc w:val="both"/>
              <w:spacing w:after="0" w:line="283" w:lineRule="atLeast"/>
              <w:rPr>
                <w:rFonts w:ascii="Times New Roman" w:hAnsi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Уполномоченный орган обеспечивает направление уч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астнику конкурса разъяснения положений объявления о проведении конкурса письмом Уполномоченного органа не позднее 3 рабочих дней со дня, следующего за днем регистрации Уполномоченным органом запроса о разъяснении положений объявления о проведении конкурса.</w:t>
            </w:r>
            <w:r>
              <w:rPr>
                <w:highlight w:val="none"/>
              </w:rPr>
            </w:r>
            <w:r/>
          </w:p>
        </w:tc>
      </w:tr>
    </w:tbl>
    <w:tbl>
      <w:tblPr>
        <w:tblW w:w="0" w:type="auto"/>
        <w:tblInd w:w="-2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4"/>
        <w:gridCol w:w="10492"/>
      </w:tblGrid>
      <w:tr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Срок проведения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конкурса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pStyle w:val="816"/>
              <w:ind w:left="142" w:right="142" w:firstLine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Начало: 05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октября 2025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года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Окончание: не позднее 29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октября 2025 года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ата и время начала (окончания) подачи (приема) заявок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pStyle w:val="816"/>
              <w:ind w:left="142" w:right="142" w:firstLine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 00 часов  00 минут 8 сентября  по 17 часов 00 минут 5 октября 2025 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Доменное имя и (или) указатели страниц государственной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информационной системы в сети "Интернет"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142" w:right="142" w:firstLine="0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Конкурс проводится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с использованием государственной интегрированной информационной системы управления общественными финансами "Электронный бюджет".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Ссылка на Портал приема заявок - </w:t>
            </w:r>
            <w:hyperlink r:id="rId9" w:tooltip="https://promote.budget.gov.ru/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https://promote.budget.gov.ru/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Наименование, место нахождения, почтовый адрес и адрес электронной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почты, номер контактного телефона главного распорядителя бюджетных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средств в лице Уполномоченного органа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pStyle w:val="816"/>
              <w:ind w:left="142" w:right="142" w:firstLine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Управление по вопросам законности, правопорядка и безопасности администрации города Нижневартовска (далее – Уполномоченный орган).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ород Нижневартовск, улица Омская, 17, кабин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ет 6,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r>
            <w:hyperlink r:id="rId10" w:tooltip="mailto:antidrugs@n-vartovsk.ru," w:history="1">
              <w:r>
                <w:rPr>
                  <w:rStyle w:val="822"/>
                  <w:rFonts w:ascii="Times New Roman" w:hAnsi="Times New Roman"/>
                  <w:color w:val="000000" w:themeColor="text1"/>
                  <w:sz w:val="24"/>
                  <w:szCs w:val="24"/>
                  <w:highlight w:val="none"/>
                  <w:u w:val="single"/>
                </w:rPr>
                <w:t xml:space="preserve">antidrugs@n-vartovsk.ru,</w:t>
              </w:r>
              <w:r>
                <w:rPr>
                  <w:rStyle w:val="822"/>
                  <w:color w:val="000000" w:themeColor="text1"/>
                  <w:sz w:val="24"/>
                  <w:szCs w:val="24"/>
                  <w:highlight w:val="none"/>
                  <w:u w:val="single"/>
                </w:rPr>
              </w:r>
              <w:r>
                <w:rPr>
                  <w:rStyle w:val="822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Тел. 8(3466)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41-17-01</w:t>
            </w:r>
            <w:r>
              <w:rPr>
                <w:highlight w:val="none"/>
              </w:rPr>
            </w:r>
            <w:r/>
          </w:p>
        </w:tc>
      </w:tr>
      <w:tr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Результат предоставления гранта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pStyle w:val="816"/>
              <w:ind w:left="142" w:right="142" w:firstLine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Результатом предоставления гранта является реализация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получателем гранта проекта (программы) в сроки, установленные проектом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(программой).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142" w:right="142" w:firstLine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Показателями, необходимыми для достижения результата предоставления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гранта, являются: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142" w:right="142" w:firstLine="0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- количество мероприятий, направленных на реализацию проекта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(программы);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142" w:right="142" w:firstLine="0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- количество участников мероприятий, направленных на реализацию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t xml:space="preserve">проекта (программы).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142" w:right="142" w:firstLine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Требования к участникам конкурса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 к перечню документов, представляемых ими для подтверждения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соответствия указанным требованиям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Участник конкурса на даты рассмотрения заявок и заключения Соглашения должен соответствовать следующим требованиям: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 участника кон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курса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 участника конкур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са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находиться в процессе реорганизации (за исключением реорганизации в форме присоединения к юри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дическому лицу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, являющемуся участником конкурса, другого юридического лица), ликвидации, в отношении участника конкурса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являться иностранным юридическим лицом, в том числ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получать средства из бюджета города на основании иных муниципальных правовых актов на цели, установленные пунктом 1.2 Порядка;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283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участник конкурса не должен являться иностранным агентом в соответствии с Федеральным законом от 14.07.2022 №255-ФЗ "О контроле за деятельностью лиц, находящихся под иностранным влиянием".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highlight w:val="none"/>
              </w:rPr>
              <w:t xml:space="preserve">окументы, подтверждающие соответствие участника Конкурса вышеуказанным требованиям, предоставляются в случае готовности участника Конкурса представить указанные документы по собственной инициативе.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подачи заявок и требования, предъявляемые к их форме  и содержанию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pStyle w:val="816"/>
              <w:ind w:left="142" w:right="142" w:firstLine="42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Участник конкурса в период с 08 сентября по 06 октября 2025 года представляет в систему "Электронный бюджет" посредством заполнения соответствующих экранных форм веб-интерфейса системы "Электронный бюджет" заявку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, содержащую информацию об участнике конкурса, о размере запрашиваемого гранта, с электронными копиями следующих документов (документов на бумажном носителе, преобразованных в электронную форму путем сканирования):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документы, подтверждающие соответствие участника конкурса требованиям, к участникам Конкурса  (в случае готовности участника конкурса представить указанные документы по собственной инициативе);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паспорт гражданина (для руководителя / членов коллегиального исполнительного органа / лиц, исполняющих функции единоличного исполнительного органа / главного бухгалтера юридического лица);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документ, подтверждающий полномочия лица на осуществление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действий от имени юридического лица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юридического лица без доверенности). В 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лучае если от имени юридического лица действует иное лицо, к заявке прилагается доверенность на осуществление действий от имени юридического лица, заверенная печатью юридического лица (при наличии печати) и подписанная руководителем или уполномоченным руко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- копия устава некоммерческой организации;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- проект (программа), отвечающий требованиям, установленным приложением 1 к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Порядку предоставления грантов в форме субсидий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пропаганды, утвержденному постановление администрации города от 31.07.2025 №694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(далее - Порядок)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;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- информационная карта проекта (программы) по форме согласно приложению 2 к Порядку;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ab/>
              <w:t xml:space="preserve">- 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мероприятий по достижению количественных значений результатов реализации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(программы) по форме согласно приложению 3 к Порядку;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- перечень предполагаемых затрат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направленных на реализацию проекта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(программы)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согласно приложению 4 к Порядку;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- реквизиты лицевого счета: для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юджетных учреждений - лицевого счета, открытого в территориальном органе Федерального казначейства   или финансовом органе субъекта Российской Федерации (муниципального образования); для автономных учреждений - лицевого счета,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открытого  в территориальном органе Федерального казначейства или финансовом органе субъекта Российской Федерации (муниципального образования), или расчетного счета в российских кредитных организациях; 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соглас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учредителя участника конкурса на участие в конкурсе (для бюджетных или автономных организаций, в отношении которых функции и полномочия учредителя осуществляют органы государственной власти (государственный орган) и (или) орган местного самоуправления).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Документы должны иметь распространенные открытые форматы, обеспечивающие возможность просмотра всего документа либ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Документы должны отвечать следующим требованиям: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должны обеспечивать сохранение всех реквизитов и аутентичных признаков подлинности, должны содержать графическую подпись лица, печать (при наличии);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сканирование документов на б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умажном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носителе должно производиться в масштабе 1:1 в черно-белом либо сером цвете (качество 200 - 300 точек на дюйм), сканирование в режиме полной цветопередачи должно осуществляться при наличии в документах цветных графических изображений либо цветного текста;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должны быть в формате PDF, размер файла не должен превышать 10 Мб;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каждый отдельный документ представляется в виде отдельного файла.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Документы, которые не поддаются прочтению либо имеют серьезные повреждения, приписки, зачеркнутые слова и иные исправления, за исключением оговоренных, считаются неподанными.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Заявка в системе "Электронный бюджет" подписывается усиленной квалифицированной электронной подписью руководителя участника конкурса или уполномоченного им лица.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"Электронный бюджет".</w:t>
            </w:r>
            <w:r>
              <w:rPr>
                <w:highlight w:val="none"/>
              </w:rPr>
            </w:r>
            <w:r/>
          </w:p>
        </w:tc>
      </w:tr>
      <w:tr>
        <w:trPr>
          <w:trHeight w:val="3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отзыва заявок участниками Конкурса, их возврата, в том числе основания для такого возврата, порядок внесения изменений в заявки участниками Конкурса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Участник конкурса вправе отозвать заявку, внести изменения в заявку посредством заполнения соответствующих экранных форм веб-интерфейса системы "Электронный бюджет" не позднее даты окончания срока подачи заявок.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При отзыве заявки участником конкурса в системе "Электронный бюджет" заявка не подлежит рассмотрению в соответствии с Порядком и считается отозванной участником конкурса.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Основанием для возврата заявки является отзыв заявки участником конкурса.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Уполномоч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енный орган при выявлении в заявке недостатков технического характера направляет в системе «Электронный бюджет» заявку участнику конкурса на доработку в течение 3 рабочих дней с даты открытия доступа к заявкам для их рассмотрения и оценки.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425"/>
              <w:jc w:val="both"/>
              <w:spacing w:after="0" w:line="283" w:lineRule="atLeast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Участник конкурса в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течение 3 рабочих дней после получения в системе «Электронный бюджет» заявки на доработку вправе внести в нее изменения и повторно направить доработанную заявку в порядке, аналогичном порядку формирования заявки, установленному пунктами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2.3, 2.4 Порядка.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возврата заявок на доработку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146" w:firstLine="709"/>
              <w:jc w:val="both"/>
              <w:spacing w:after="0" w:line="283" w:lineRule="atLeast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Уполномоч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енный орган при выявлении в заявке недостатков технического характера направляет в системе «Электронный бюджет» заявку участнику конкурса на доработку в течение 3 рабочих дней с даты открытия доступа к заявкам для их рассмотрения и оценки.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709"/>
              <w:jc w:val="both"/>
              <w:spacing w:after="0" w:line="283" w:lineRule="atLeast"/>
              <w:rPr>
                <w:rFonts w:ascii="Times New Roman" w:hAnsi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Участник конкурса в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течение 3 рабочих дней после получения в системе «Электронный бюджет» заявки на доработку вправе внести в нее изменения и повторно направить доработанную заявку в порядке, аналогичном порядку формирования заявки, установленному пунктами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2.3, 2.4 Порядка.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Правила рассмотрения и оценки заявок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textDirection w:val="lrTb"/>
            <w:noWrap w:val="false"/>
          </w:tcPr>
          <w:p>
            <w:pPr>
              <w:ind w:left="142" w:right="146" w:firstLine="567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 течение 7 рабочих дней со дня, следующего за днем подписания протокола вскрытия заявок, Уполномоченный орган осуществляет рассмотрение участника конкурса, а также представленных им заяв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ки и документов на наличие (отсутствие) оснований для отклонения заявок, оснований для отказа в предоставлении гранта, о чем готовит соответствующее заключение.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Уполномоченный орган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в целях проверки участников конкурса на соответствие  установленным требованиям, получает в открытом доступе в сети "Интернет":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выписку из Единого государственного реестра юридических лиц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  <w:t xml:space="preserve">(на официальном сайте Федеральной налоговой службы);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 об отсутствии участника конкурса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</w:t>
            </w:r>
            <w:r>
              <w:rPr>
                <w:rStyle w:val="798"/>
                <w:rFonts w:ascii="Times New Roman" w:hAnsi="Times New Roman"/>
                <w:color w:val="auto"/>
                <w:sz w:val="24"/>
                <w:szCs w:val="24"/>
                <w:highlight w:val="none"/>
                <w:u w:val="none"/>
              </w:rPr>
              <w:t xml:space="preserve">);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8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- сведения об отсутствии участника конкурса в составляемых в рамках реализации полномочий, предусмотренных главой VII Устава ООН, Советом Безопасности ООН или органами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(на официальном сайте Совета Безопасности ООН);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сведения, подтвержда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ющие, что участник конкурса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 (на официальном сайте Министерства юстиции Российской Федерации);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сведения, что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 отношении участника конкурса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 (на официальном сайте Федеральной налоговой службы);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 об отсутствии в реестре дисквалифицированных лиц сведений о дисквалифицированных руководителе, членах коллегиального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 (на официальном сайте Федеральной налоговой службы).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Дополнительно в целях проверки участников конкурса на соответствие установленным требованиям, Уполномоченный орган самостоятельно в структурных подразделениях администрации города запрашивает: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 об отсут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ствии у участника конкурса просроченной задолженности по возврату в бюджет города иных субсидий, бюджетных инвестиций, а также просроченной (неурегулированной) задолженности по денежным обязательствам перед муниципальным образованием город Нижневартовск; 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 сведения, подтверждающие,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что участник конкурса не получает из бюджета города средства на основании иных муниципальных правовых актов на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финансовое обеспечения затрат на реализацию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проектов (программ)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  <w:t xml:space="preserve">в сфере профилактики незаконного потребления наркотических средств, психотропных веществ, антинаркотической пропаганды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Дополнительно в целях проверки участников конкурса на соответствие установленным требованиям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Уполномоченный  орган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самостоятельно в порядке межведомственного информационного взаимодействия, установленном Федеральным законом от 27.07.2010 №210-ФЗ "Об организации предоставления государственных и муниципальных услуг", в отношении участников конкурса запрашивает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сведения об отсутствии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 участника конкурса  на едином налоговом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задолженности  по уплате налогов, сборов и страховых взносов в бюджеты бюджетной системы Российской Федерации (через систему исполнения регламентов).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На едином портале на основании результатов рассмотрения заявок автоматически формируется протокол рассмотрения заявок, который подписывается усиленной квалифицированной электронной подписью руководителя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Уполномоченного органа в системе «Электронный бюджет» не позднее пятнадцатого рабочего дня со дня, следующего за днем подписания протокола вскрытия заявок, и размещается на едином портале не позднее первого рабочего дня, следующего за днем его подписания.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567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Внесение изменен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ий в протокол рассмотрения заявок осуществляется Уполномоченным органом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отклонения заявок, а также информация об основаниях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для их отклонения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709"/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те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чение 7 рабочих дней со дня, следующего за днем подписания протокола вскрытия заявок, Уполномоченный орган осуществляет рассмотрение участника конкурса, а также представленных им заяв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ки и документов на наличие (отсутствие) оснований для отклонения заявок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Основания для отклонения заявок на стадии их рассмотрения:</w:t>
            </w:r>
            <w:r>
              <w:rPr>
                <w:highlight w:val="none"/>
              </w:rPr>
            </w:r>
            <w:r/>
          </w:p>
          <w:p>
            <w:pPr>
              <w:pStyle w:val="816"/>
              <w:ind w:left="850" w:right="57" w:firstLine="0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 несоответствие участника конкурса установленным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требования к участникам конкурса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несоответствие представленных участником конкурса заявки и (или) документов требованиям, установленным в объявлении о проведении конкурса;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недостоверность информации, содержащейся в документах, представленных участником конкурса в целях подтверждения соответствия установленным Порядком требованиям;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подача участником конкурса заявки до или после даты и (или) времени, определенных для ее подачи;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непредставление (представление не в полном объеме) документов, указанных в объявлении о проведении конкурса.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709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 случае отклонения заявки по основаниям, установленным настоящим пунктом,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публичное представление проекта (программы) участником конкурса не осуществляется.</w:t>
            </w:r>
            <w:r>
              <w:rPr>
                <w:highlight w:val="none"/>
              </w:rPr>
            </w:r>
            <w:r/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Информация об участии конкурсной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комиссии в оценке заявок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Рассмотрение заключений по результатам рассмотрения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участников Конкурса, а также представленных ими заяв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ок и документов на наличие (отсутствие) оснований для отклонения заявок либо оснований для отказа в предоставлении гранта,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определение победителя (победителей) Конкурса и суммы грантов, подведение итогов Конкурса осуществляет конкурсная комиссия в следующем составе: 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Начальник управления по вопросам законности, правопорядка и безопасности администрации города, председатель комиссии 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отдела по профилактике правонарушений управления по вопросам законности, правопорядка и безопасности администрации города, секретарь комиссии 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бюджетного учреждения Ханты-Мансийского автономного округа - Югры "Нижневартовская психоневрологическая больница" (по согласованию)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общественной палаты города Нижневартовска (по согласованию)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отдела по контролю за оборотом наркотиков Управления Министерства внутренних дел Российской Федерации по городу Нижневартовску (по согласованию)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отдела по организации деятельности муниципальной комиссии по делам несовершеннолетних и защите их прав администрации города 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региональной общественной организации «Страна без наркотиков. Югра» (по согласованию)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дставитель Управления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(по согласованию)</w:t>
            </w:r>
            <w:r>
              <w:rPr>
                <w:highlight w:val="none"/>
              </w:rPr>
            </w:r>
            <w:r/>
          </w:p>
          <w:p>
            <w:pPr>
              <w:pStyle w:val="820"/>
              <w:numPr>
                <w:ilvl w:val="0"/>
                <w:numId w:val="2"/>
              </w:numPr>
              <w:ind w:left="425" w:right="142" w:hanging="283"/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Представитель филиала в городе Нижневартовске бюджетного учреждения Ханты-Мансийского автономного округа - Югры "Центр общественного здоровья и медицинской профилактики" (по согласованию)</w:t>
            </w:r>
            <w:r>
              <w:rPr>
                <w:highlight w:val="none"/>
              </w:rPr>
            </w:r>
            <w:r/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Порядок оценки заявок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0" w:firstLine="540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Уполномоченный орг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ан в течение 10 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абочих дней со дня подписания протокола рассмотрения заявок либо последнего внесения изменений в протокол рассмотрения заявок организует заседание конкурсной комиссии.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540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Конкурсная комиссия в день заседания конкурсной комиссии: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540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заслушивает публичное представление проектов (программ) участниками конкурса (5 - 7 минут на каждого участника конкурса) и оценивает проекты (программы) в соответствии с критериями оценки, предусмотренными приложением 5 к Порядку;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540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- определяет победителя (победителей) конкурса.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Оценка проектов (программ) производится по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критериям оценки, которые имеют величину значимости в процентном соотношении от общей оценки (далее – коэффициент весового значения). Сумма величин значимости всех применяемых критериев оценки составляет 100%.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Каждый член конкурсной комиссии отдельно от других оценивает проект (программу) по каждому из критериев оценки с использованием 100-балльной шкалы оценки и заполняет соответствующий оценочный лист.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Сумма баллов, выставленных членами конкурсной комиссии по каждому из критериев оценки оцениваемого проекта (программы), делится на число членов конкурсной комиссии (далее – среднее арифметическое).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Итоговое количество баллов оцениваемого проекта (программы) определяется путем сложения средних арифметических по каждому критерию оценки, умноженному на соответствующий коэффициент весового значения.        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После определения итогового количества баллов участнику конкурса присва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ивается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 порядковый номер от номера 1, набравшего максимальное количество баллов, до номера, набравшего минимальное количество баллов, в порядке убывания с указанием количества набранных баллов в разрезе каждого члена конкурсной комиссии и каждого критерия оценки.</w:t>
            </w:r>
            <w:r>
              <w:rPr>
                <w:highlight w:val="none"/>
              </w:rPr>
            </w:r>
            <w:r/>
          </w:p>
          <w:p>
            <w:pPr>
              <w:ind w:left="142" w:right="146" w:firstLine="398"/>
              <w:jc w:val="both"/>
              <w:spacing w:after="0" w:line="283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Подсчет итоговых балл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ов, присвоение порядкового номера каждому участнику конкурса осуществляется секретарем конкурсной комиссии. Контроль за результатом подсчета итоговых баллов и присвоением порядковых номеров участникам конкурса осуществляет председатель конкурсной комиссии.</w:t>
            </w:r>
            <w:r>
              <w:rPr>
                <w:highlight w:val="none"/>
              </w:rPr>
            </w:r>
            <w:r/>
          </w:p>
        </w:tc>
      </w:tr>
      <w:tr>
        <w:trPr>
          <w:trHeight w:val="6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Критерии оценки, показатели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критериев оценки и их весовое значение в общей оценке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tbl>
            <w:tblPr>
              <w:tblStyle w:val="67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4"/>
              <w:gridCol w:w="5602"/>
              <w:gridCol w:w="1100"/>
            </w:tblGrid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/>
                      <w:b/>
                      <w:bCs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sz w:val="20"/>
                      <w:szCs w:val="20"/>
                      <w:highlight w:val="none"/>
                      <w:lang w:eastAsia="ru-RU"/>
                    </w:rPr>
                    <w:t xml:space="preserve">Критерий оценки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highlight w:val="none"/>
                    </w:rPr>
                    <w:t xml:space="preserve">Показатель критерия оценки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highlight w:val="none"/>
                    </w:rPr>
                    <w:t xml:space="preserve">Весовое значение 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highlight w:val="none"/>
                    </w:rPr>
                    <w:t xml:space="preserve">в общей оценке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Актуальность, практическая и социальная значимость  проекта (программы) (проблематика)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100 баллов - проект (программа) является актуальным и его реализация в полной мере представляет практическую и социальную значимость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10%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75 баллов - проект (программа) является актуальным и в значительной степени представляет практическую и социальную значимость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50 баллов - проект (программа) в средней степени  является актуальным и в средней степени представляет практическую и социальную значимость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25 баллов - проект (программа) в незначительной степени является актуальным и его реализация в малой степени представляет практическую и социальную значимость 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0 баллов - проект (программа) не актуален и не представляет практической и социальной значимости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Масштабность проекта (программы) (количество участников из целевой группы, охваченных проектом (программой))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100 баллов - количество участников мероприятий проекта (программы) более 300 человек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10%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75 баллов - количество участников мероприятий проекта (программы)  от 100 до 300 человек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50 баллов - количество участников мероприятий проекта (программы)  от 70 до 100 человек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>
                <w:trHeight w:val="432"/>
              </w:trPr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25 баллов - количество участников мероприятий проекта (программы)  от 20 до 70 человек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0 баллов - количество участников мероприятий проекта (программы)  менее 20 человек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Экономическая целесообразность проекта (программы)  (соотношение планируемых затрат на реализацию проекта и его ожидаемых результатов)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Cs w:val="24"/>
                      <w:highlight w:val="none"/>
                      <w:lang w:val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Cs w:val="24"/>
                      <w:highlight w:val="none"/>
                      <w:lang w:val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Cs w:val="24"/>
                      <w:highlight w:val="none"/>
                      <w:lang w:val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Cs w:val="24"/>
                      <w:highlight w:val="none"/>
                      <w:lang w:val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100 баллов - затраты полностью обоснованы в достижении результатов реализации проекта (программы)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20%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75 баллов - затраты в значительной степени обоснованны в достижении результатов реализации проекта (программы)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50 баллов - затраты в средней степени обоснованны для достижения результатов реализации проекта (программы)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25 баллов -  затраты в незначительной степени обоснованны для достижения результатов реализации проекта (программы) 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0 баллов - затраты не обоснованны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Инновационный подход при реализации проекта (программы)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100 баллов - при реализации проекта (программы) используются полностью инновационные методы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30%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75 баллов - при реализации проекта (программы) в большей степени используются инновационные методы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50 баллов - при реализации проекта (программы) в средней степени используется инновационные методы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25 баллов - использование инновационных методов при реализации проекта (программы) незначительно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0 баллов - инновационность проекта (программы) отсутствует 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Эффективность реализации проекта (программы) (оценка воздействия (влияния) мероприятий проекта (программы) на профилактику незаконного потребления наркотических средств, психотропных веществ, антинаркотическую пропаганду)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eastAsia="Times New Roman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8"/>
                      <w:highlight w:val="none"/>
                      <w:lang w:eastAsia="ru-RU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100 баллов - мероприятия проекта (программы) в полной мере направлены на профилактику незаконного потребления  наркотических средств, психотропных веществ, антинаркотическую пропаганду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30%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75 баллов - мероприятия проекта (программы) в значительной степени направлены на профилактику незаконного потребления  наркотических средств, психотропных веществ, антинаркотическую пропаганду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50 баллов - мероприятия проекта (программы) в средней степени направлены на профилактику незаконного потребления  наркотических средств, психотропных веществ, антинаркотическую пропаганду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25 баллов - мероприятия проекта (программы) незначительно направлены на профилактику незаконного потребления  наркотических средств, психотропных веществ, антинаркотическую пропаганду 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  <w:tr>
              <w:trPr/>
              <w:tc>
                <w:tcPr>
                  <w:tcW w:w="3834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tcW w:w="5602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0 баллов - мероприятия проекта (программы) не направлены на профилактику незаконного потребления  наркотических средств, психотропных веществ, антинаркотическую пропаганду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Информация, предоставляемая участником Конкурса   по каждому критерию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оценки, сведения, документы и материалы, подтверждающие такую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информацию 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tbl>
            <w:tblPr>
              <w:tblStyle w:val="672"/>
              <w:tblW w:w="0" w:type="auto"/>
              <w:tblLook w:val="04A0" w:firstRow="1" w:lastRow="0" w:firstColumn="1" w:lastColumn="0" w:noHBand="0" w:noVBand="1"/>
            </w:tblPr>
            <w:tblGrid>
              <w:gridCol w:w="5241"/>
              <w:gridCol w:w="5241"/>
            </w:tblGrid>
            <w:tr>
              <w:trPr>
                <w:trHeight w:val="658"/>
              </w:trPr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Актуальность, практическая и социальная значимость  проекта (программы) (проблематика)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Участник Конкурса при разработке проекта (программы) в соответствии с требованиями к проекту, описывает  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  <w:lang w:val="ru-RU"/>
                    </w:rPr>
                    <w:t xml:space="preserve">боснование актуальности, практической и социальной значимости проекта (программы) (проблематика).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Масштабность проекта (программы) (количество участников из целевой группы, охваченных проектом (программой))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Участник Конкурса в материалах проекта (программы) в соответствии с требованиями к проекту (программе)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и в информационной карте проекта (программы) указывает 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  <w:lang w:val="ru-RU"/>
                    </w:rPr>
                    <w:t xml:space="preserve">оличественные результаты реализации проекта (программы): количество мероприятий, направленных на реализацию проекта (программы); количество участников мероприятий, направленных на реализацию проекта (программы)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  <w:lang w:val="ru-RU"/>
                    </w:rPr>
                    <w:t xml:space="preserve">. 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pStyle w:val="823"/>
                    <w:jc w:val="both"/>
                    <w:rPr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Экономическая целесообразность проекта (программы)  (соотношение планируемых затрат на реализацию проекта и его ожидаемых результатов)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Участник Конкурса при разработке проекта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в соответствии с требованиями к проекту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 описывает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э</w:t>
                  </w: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кономическую целесообразность проекта (программы)  - соотношение планируе</w:t>
                  </w:r>
                  <w:r>
                    <w:rPr>
                      <w:rFonts w:ascii="Times New Roman" w:hAnsi="Times New Roman"/>
                      <w:sz w:val="20"/>
                      <w:szCs w:val="20"/>
                      <w:highlight w:val="none"/>
                    </w:rPr>
                    <w:t xml:space="preserve">мых затрат на реализацию проекта (программы) и его ожидаемых результатов, а также предоставляет смету предполагаемых затрат. На публичном представлении проекта (программы) участник Конкурса разъясняет взаимосвязь расходов с реализацией мероприятий проекта 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Инновационный подход при реализации проекта (программы)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Участник Конкурса при разработке проекта (программы)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none"/>
                    </w:rPr>
                    <w:t xml:space="preserve">в соответствии с требованиями к проекту, описывает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формы и методы реализации мероприятий,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спользование оригинальных, нестандартных идей и методов  при реализации проекта (программы)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ascii="Times New Roman" w:hAnsi="Times New Roman" w:eastAsia="Times New Roman"/>
                      <w:sz w:val="20"/>
                      <w:szCs w:val="20"/>
                      <w:highlight w:val="none"/>
                      <w:lang w:eastAsia="ru-RU"/>
                    </w:rPr>
                    <w:t xml:space="preserve">Эффективность реализации проекта (программы) (оценка воздействия (влияния) мероприятий проекта (программы) на профилактику незаконного потребления наркотических средств, психотропных веществ, антинаркотическую пропаганду)</w:t>
                  </w:r>
                  <w:r>
                    <w:rPr>
                      <w:highlight w:val="none"/>
                    </w:rPr>
                  </w:r>
                  <w:r/>
                </w:p>
              </w:tc>
              <w:tc>
                <w:tcPr>
                  <w:tcW w:w="5241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Учас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none"/>
                    </w:rPr>
                    <w:t xml:space="preserve">тник Конкурса на публичном представлении проекта (программы) обосновывает воздействие проводимых мероприятий в рамках проекта (программы) на целевую группу проекта (программы) в целях предупреждения потребления наркотических средств, психотропных веществ  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</w:tbl>
          <w:p>
            <w:pPr>
              <w:ind w:left="142" w:right="142" w:firstLine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Сроки оценки заявок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Начало оценки заявок - 06.10.2025</w:t>
            </w:r>
            <w:r>
              <w:rPr>
                <w:highlight w:val="none"/>
              </w:rPr>
            </w:r>
            <w:r/>
          </w:p>
          <w:p>
            <w:pPr>
              <w:ind w:left="142" w:right="142" w:firstLine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Окончание оценки заявок - не позднее 29.10.2025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Сроки размещения протокола подведения итогов конкурса на едином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портале и официальном сайте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ind w:left="142" w:right="0" w:firstLine="398"/>
              <w:jc w:val="both"/>
              <w:spacing w:after="0" w:line="283" w:lineRule="atLeas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Протокол подведения итогов Конкурса формируется и подписывается в день заседания конкурсной комиссии.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Внесение изменений в протокол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подведения итогов конкурса осуществляется Уполномоченным органом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изменений.</w:t>
            </w:r>
            <w:r>
              <w:rPr>
                <w:highlight w:val="none"/>
              </w:rPr>
            </w:r>
            <w:r/>
          </w:p>
          <w:p>
            <w:pPr>
              <w:ind w:left="142" w:right="0" w:firstLine="398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Протокол подведения итогов Конкурса размещается на едином портале и официальном сайт 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е позднее четырнадцатого календарного дня со дня подписания протокола подведения итогов Конкурса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Срок, в течение которого победитель Конкурса должен подписать соглашение о предоставлении гранта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142" w:right="142" w:firstLine="567"/>
              <w:jc w:val="both"/>
              <w:spacing w:before="0" w:after="0" w:line="283" w:lineRule="atLeast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Получатель гранта обеспечивает подписание Соглашения в ГИС «Региональный электронный бюджет Югры» в срок не позднее 1 рабочего дня со дня получения Соглашения в ГИС «Региональный электронный бюджет Югры»  и направляет его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управление муниципальных закупок администрации города (далее – Управлен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ие)</w:t>
            </w:r>
            <w:r>
              <w:rPr>
                <w:highlight w:val="none"/>
              </w:rPr>
            </w:r>
            <w:r/>
          </w:p>
          <w:p>
            <w:pPr>
              <w:pStyle w:val="823"/>
              <w:contextualSpacing w:val="0"/>
              <w:ind w:left="142" w:right="142" w:firstLine="567"/>
              <w:jc w:val="both"/>
              <w:spacing w:before="0" w:after="0" w:line="283" w:lineRule="atLeast"/>
              <w:rPr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Соглашение подписывается усиленными квалифицированными электронными подписями лиц, имеющих право действовать от имени каждой из сторон Соглашения.</w:t>
            </w:r>
            <w:r>
              <w:rPr>
                <w:highlight w:val="none"/>
              </w:rPr>
            </w:r>
            <w:r/>
          </w:p>
          <w:p>
            <w:pPr>
              <w:pStyle w:val="823"/>
              <w:contextualSpacing w:val="0"/>
              <w:ind w:left="142" w:right="142" w:firstLine="567"/>
              <w:jc w:val="both"/>
              <w:spacing w:before="0" w:after="0" w:line="283" w:lineRule="atLeast"/>
              <w:rPr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При отсутствии технической возможности формирования Соглашения </w:t>
            </w:r>
            <w:r>
              <w:rPr>
                <w:sz w:val="24"/>
                <w:szCs w:val="24"/>
                <w:highlight w:val="none"/>
                <w:lang w:val="ru-RU"/>
              </w:rPr>
              <w:br/>
              <w:t xml:space="preserve"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ГИС «Региональный электронный бюджет Югры» подписание Соглашения осуществляется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на бумажном носителе. В этом случае под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писание Соглашения получателем гранта осуществляется в срок не позднее 2 рабочих дней с даты получения Соглашения от Управления. Оригинал подписанного Соглашения получатель гранта представляет в Управление по адресу: город Нижневартовск, улица Таежная, 24.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ind w:left="57" w:right="5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Условия признания победителя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Конкурса уклонившимся  от заключения соглашения                      о предоставлении гранта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2" w:type="dxa"/>
            <w:vAlign w:val="top"/>
            <w:vMerge w:val="restart"/>
            <w:textDirection w:val="lrTb"/>
            <w:noWrap w:val="false"/>
          </w:tcPr>
          <w:p>
            <w:pPr>
              <w:pStyle w:val="823"/>
              <w:ind w:left="142" w:right="142" w:firstLine="567"/>
              <w:jc w:val="both"/>
              <w:spacing w:line="283" w:lineRule="atLeast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При неподписании  в системе ГИС «Региональный электронный бюджет Югры» или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непредставлении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на бумажном носителе  получателем гранта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в установленные сроки Соглашения получатель гранта считается уклонившимся от его заключения, и грант по результатам конкурса ему не предоставляется. </w:t>
            </w:r>
            <w:r>
              <w:rPr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 Spacing"/>
    <w:basedOn w:val="816"/>
    <w:uiPriority w:val="1"/>
    <w:qFormat/>
    <w:pPr>
      <w:spacing w:after="0" w:line="240" w:lineRule="auto"/>
    </w:pPr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character" w:styleId="821" w:default="1">
    <w:name w:val="Default Paragraph Font"/>
    <w:uiPriority w:val="1"/>
    <w:semiHidden/>
    <w:unhideWhenUsed/>
  </w:style>
  <w:style w:type="character" w:styleId="822" w:customStyle="1">
    <w:name w:val="Гиперссылка"/>
    <w:rPr>
      <w:color w:val="0563c1"/>
      <w:u w:val="single"/>
    </w:rPr>
  </w:style>
  <w:style w:type="paragraph" w:styleId="823" w:customStyle="1">
    <w:name w:val="ConsPlusNormal"/>
    <w:link w:val="79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24" w:customStyle="1">
    <w:name w:val="Текст сноски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romote.budget.gov.ru/" TargetMode="External"/><Relationship Id="rId10" Type="http://schemas.openxmlformats.org/officeDocument/2006/relationships/hyperlink" Target="mailto:antidrugs@n-vartovsk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2025-12-09T04:49:15Z</dcterms:modified>
</cp:coreProperties>
</file>