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r>
        <w:rPr>
          <w:rStyle w:val="CharStyle6"/>
          <w:b/>
          <w:bCs/>
          <w:sz w:val="44"/>
          <w:szCs w:val="44"/>
        </w:rPr>
        <w:t>ОТЧЁТ</w:t>
        <w:br/>
      </w:r>
      <w:r>
        <w:rPr>
          <w:rStyle w:val="CharStyle6"/>
          <w:b/>
          <w:bCs/>
        </w:rPr>
        <w:t>председателя общественного совета</w:t>
        <w:br/>
        <w:t>ВОЛОХИНОЙ НАДЕЖДЫ АРКАДЬЕВНЫ</w:t>
        <w:br/>
        <w:t>о работе общественного совета</w:t>
        <w:br/>
        <w:t>г. Нижневартовска по вопросам ЖКХ</w:t>
        <w:br/>
        <w:t>за 3-ий квартал 2024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г. Нижневартовск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2024 г.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397" w:val="left"/>
        </w:tabs>
        <w:bidi w:val="0"/>
        <w:spacing w:before="0" w:after="300" w:line="240" w:lineRule="auto"/>
        <w:ind w:left="0" w:right="0"/>
        <w:jc w:val="both"/>
      </w:pPr>
      <w:bookmarkStart w:id="0" w:name="bookmark0"/>
      <w:r>
        <w:rPr>
          <w:rStyle w:val="CharStyle9"/>
          <w:b/>
          <w:bCs/>
        </w:rPr>
        <w:t>О стратегии социально-экономического развития г. Нижневартовска Ханты-Мансийского автономного округа.</w:t>
      </w:r>
      <w:bookmarkEnd w:id="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Во исполнение подпункта в пункта 3 перечня поручений Президента Российской Федерации от 06.03.2013 № Пр-1479 «</w:t>
      </w:r>
      <w:r>
        <w:rPr>
          <w:rStyle w:val="CharStyle3"/>
          <w:b/>
          <w:bCs/>
        </w:rPr>
        <w:t xml:space="preserve">О недопущении роста задолженности организациями коммунального комплекса и бюджетного сектора» </w:t>
      </w:r>
      <w:r>
        <w:rPr>
          <w:rStyle w:val="CharStyle3"/>
        </w:rPr>
        <w:t xml:space="preserve">и в целях недопущения ограничений поставки энергетических ресурсов гарантирующими поставщиками организациям коммунального комплекса Ханты-Мансийского автономного округа - Югры, департаментом жилищно-коммунального хозяйства администрации города Нижневартовска ежемесячно формируются отчеты в информационно- аналитической платформе </w:t>
      </w:r>
      <w:r>
        <w:rPr>
          <w:rStyle w:val="CharStyle3"/>
          <w:lang w:val="en-US" w:eastAsia="en-US" w:bidi="en-US"/>
        </w:rPr>
        <w:t>Visiologe.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По представленным данным организациями коммунального комплекса (далее ОКК) г. Нижневартовска уровень собираемости платежей потребителей ОКК за предоставленные коммунальные ресурсы по состоянию на 01.06.2024 г. составил 101,10 %, что на 4,20 % ниже уровня собираемости за аналогичный период прошлого года (105,30%). В целях снижения объёма задолженности потребителей за предоставленные коммунальные услуги ОКК подано 15210 исковых заявлений по взысканию задолженности с неплательщиков на сумму 360 570,17 тыс. рублей, взыскано с неплательщиков 248 429,91 тыс.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580"/>
        <w:jc w:val="both"/>
      </w:pPr>
      <w:r>
        <w:rPr>
          <w:rStyle w:val="CharStyle3"/>
        </w:rPr>
        <w:t>Объём просроченной задолженности потребителей за предоставленные ОКК коммунальные услуги на 01.06.2024 г. составил 543 942,94 тыс. рублей, что выше на 11,9% по сравнению с аналогичным периодом прошлого года - 532 004,00 тыс. рублей.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30" w:val="left"/>
          <w:tab w:pos="8471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Департаментом</w:t>
        <w:tab/>
        <w:t>жилищно-коммунального</w:t>
        <w:tab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администрации города усилен контроль за предоставлением всех показателей (количественных и финансовых) плана мероприятий (комплекс мер), направленного на недопущение роста задолженностей ОКК и потребителей коммунальных услуг (ресурсов).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1400"/>
        <w:jc w:val="both"/>
      </w:pPr>
      <w:r>
        <w:rPr>
          <w:rStyle w:val="CharStyle3"/>
        </w:rPr>
        <w:t>Во исполнение пункта 2 перечня поручений Президента Российской Федерации от 21.05.2020 № Пр-837, ежемесячно формируется мониторинг задолженности организаций бюджетного сектора, по состоянию на 01.06.2024 года имеется просроченная задолженность: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9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за федеральными бюджетными организациями в сумме 808,39 тыс. рублей;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97" w:val="left"/>
        </w:tabs>
        <w:bidi w:val="0"/>
        <w:spacing w:before="0" w:after="0" w:line="252" w:lineRule="auto"/>
        <w:ind w:left="0" w:right="0" w:firstLine="580"/>
        <w:jc w:val="both"/>
      </w:pPr>
      <w:r>
        <w:rPr>
          <w:rStyle w:val="CharStyle3"/>
        </w:rPr>
        <w:t>за региональными бюджетными организациями в сумме 85,01тыс. рублей;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97" w:val="left"/>
        </w:tabs>
        <w:bidi w:val="0"/>
        <w:spacing w:before="0" w:after="0" w:line="252" w:lineRule="auto"/>
        <w:ind w:left="0" w:right="0" w:firstLine="580"/>
        <w:jc w:val="both"/>
      </w:pPr>
      <w:r>
        <w:rPr>
          <w:rStyle w:val="CharStyle3"/>
        </w:rPr>
        <w:t>за муниципальными бюджетными организациями в сумме 0,00 тыс. рублей.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9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 xml:space="preserve">Согласно перечня поручений по итогам совместного заседания президиума Госсовета и консультативной комиссии Госсовета, утверждённого Президентом РФ от 05.12.2016 г. №Пр- 2347ГС, рекомендовано органам исполнительной власти совместно со специализированными организациями обеспечить достижения </w:t>
      </w:r>
      <w:r>
        <w:rPr>
          <w:rStyle w:val="CharStyle3"/>
        </w:rPr>
        <w:t>показателей, установленных в целевых моделях.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Согласно перечня поручений по итогам совещания по вопросам прохождения осенне-зимнего отопительного периода, утверждённого Президентом РФ от 17.02.2022 г.№325,рекомендовано обеспечить проведение теплоснабжающими организациями не реже одного раза в шесть месяцев противоаварийных тренировок в целях отработки действий, необходимых для возобновления передачи тепловой энергии от источников тепловой энергии после полного прекращения подачи тепловой энергии её потребителям.</w:t>
      </w:r>
    </w:p>
    <w:p>
      <w:pPr>
        <w:pStyle w:val="Style2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Согласно перечня поручений, утверждённого Президентом РФ от 20.02.2019г. №ПР-245, рекомендовано обеспечить контроль соответствия питьевой воды у конечного потребителя нормативно установленным показателям безопасности и качества.</w:t>
      </w:r>
    </w:p>
    <w:p>
      <w:pPr>
        <w:pStyle w:val="Style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В соответствии с Указом Президента РФ «О мерах, осуществляемых в субъектах Российской Федерации 19 октября 2022г №756», обеспечивающих жизнедеятельность населения, функционирование транспорта, коммуникаций и связи, объектов энергетики, с целью антитеррористической защищённости объектов водоснабжения и водоотведения, а также топливно-энергетического комплекса, объектов транспортной инфраструктуры.</w:t>
      </w:r>
    </w:p>
    <w:p>
      <w:pPr>
        <w:pStyle w:val="Style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Согласно перечня поручений, утверждённого Президентом РФ «Об организации и проведении ремонта дорог на улично-дорожной сети города», в целях реализации национального проекта «Безопасные качественные дороги».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600"/>
        <w:jc w:val="both"/>
      </w:pPr>
      <w:r>
        <w:rPr>
          <w:rStyle w:val="CharStyle3"/>
          <w:b/>
          <w:bCs/>
        </w:rPr>
        <w:t>Информация об исполнении поручений Президента Российской Федерации принята общественным советом г. Нижневартовска по вопросам ЖКХ к сведению.</w:t>
      </w:r>
    </w:p>
    <w:p>
      <w:pPr>
        <w:pStyle w:val="Style2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  <w:b/>
          <w:bCs/>
        </w:rPr>
        <w:t xml:space="preserve">На основании решения Думы города Нижневартовска от 21.06.2024 №432 "О внесении изменений в решение Думы города Нижневартовска от 15.12.2023№357 "О бюджете города Нижневартовска на 2024 год и на плановый период 2025 и 2026 годов" </w:t>
      </w:r>
      <w:r>
        <w:rPr>
          <w:rStyle w:val="CharStyle3"/>
        </w:rPr>
        <w:t>до департамента жилищно-коммунального хозяйства администрации города (далее - департамент ЖКХ) доведены дополнительные денежные средства на целевую статью "Финансовое обеспечение затрат по благоустройству территорий, прилегающих к многоквартирным домам".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 xml:space="preserve">В соответствии с п. 2.34 Порядка предоставления субсидии из бюджета г. Нижневартовска на финансовое обеспечение затрат по благоустройству территорий, прилегающих к многоквартирным домам, утвержденного постановлением администрации города от 15.05.2017 №706 (далее - Порядок предоставления субсидии) в случае увеличения бюджетных ассигнований и лимитов бюджетных обязательств на предоставление субсидии в текущем финансовом году департамент ЖКХ проводит дополнительный отбор получателей в соответствии с разделом </w:t>
      </w:r>
      <w:r>
        <w:rPr>
          <w:rStyle w:val="CharStyle3"/>
          <w:lang w:val="en-US" w:eastAsia="en-US" w:bidi="en-US"/>
        </w:rPr>
        <w:t xml:space="preserve">II </w:t>
      </w:r>
      <w:r>
        <w:rPr>
          <w:rStyle w:val="CharStyle3"/>
        </w:rPr>
        <w:t>Порядка предоставления субсидии.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</w:rPr>
        <w:t xml:space="preserve">С учетом экономии денежных средств, сложившейся в результате </w:t>
      </w:r>
      <w:r>
        <w:rPr>
          <w:rStyle w:val="CharStyle3"/>
        </w:rPr>
        <w:t>отбора, проведенного 17.05.2024 г., общая сумма денежных средств, предусмотренных для предоставления субсидий, составляет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15 257 011,06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Отбор получателей субсидии осуществлялся настоящей комиссией на основании заявок, направленных участниками отбора, исходя из соответствия участников отбора категориям и критериям отбора в соответствии с Порядком предоставления субсидии.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В установленный в объявлении о проведении отбора срок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(с 19.06.2024 г. по 28.06.2024 г.) в департамент ЖКХ поступили заявки на участие в отборе от управляющих организаций: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660"/>
        <w:jc w:val="both"/>
      </w:pPr>
      <w:r>
        <w:rPr>
          <w:rStyle w:val="CharStyle3"/>
          <w:rFonts w:ascii="Times New Roman" w:eastAsia="Times New Roman" w:hAnsi="Times New Roman" w:cs="Times New Roman"/>
        </w:rPr>
        <w:t xml:space="preserve">- </w:t>
      </w:r>
      <w:r>
        <w:rPr>
          <w:rStyle w:val="CharStyle3"/>
        </w:rPr>
        <w:t xml:space="preserve">акционерного общества "Управляющая компания №1" (далее -, АО "УК </w:t>
      </w:r>
      <w:r>
        <w:rPr>
          <w:rStyle w:val="CharStyle3"/>
          <w:i/>
          <w:iCs/>
        </w:rPr>
        <w:t>№</w:t>
      </w:r>
      <w:r>
        <w:rPr>
          <w:rStyle w:val="CharStyle3"/>
        </w:rPr>
        <w:t>1") на благоустройство территорий, прилегающих к многоквартирным домам, по адресам: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6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ул. Пионерская, д. д. 9, 11;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6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ул. Мира, д. д. 14, 14 а.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общества с ограниченной ответственностью "Управляющая компания "Диалог" (далее - ООО "УК "Диалог") на благоустройство территории, прилегающей к многоквартирному дому 64 по улице Нефтяников.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В соответствии с Порядком предоставления субсидии рассмотрение заявок осуществлялся настоящей комиссией в два этапа.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 xml:space="preserve">В соответствии с п. 2.20 Порядка предоставления субсидии предусмотрены следующие основания для отклонения заявки на </w:t>
      </w:r>
      <w:r>
        <w:rPr>
          <w:rStyle w:val="CharStyle3"/>
          <w:lang w:val="en-US" w:eastAsia="en-US" w:bidi="en-US"/>
        </w:rPr>
        <w:t xml:space="preserve">I </w:t>
      </w:r>
      <w:r>
        <w:rPr>
          <w:rStyle w:val="CharStyle3"/>
        </w:rPr>
        <w:t>этапе рассмотрения заявок: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несоответствие участника отбора требованиям, установленным в пунктах 1.5., 2.3. Порядка предоставления субсидии;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несоответствие представленных участником отбора заявок и документов требованиям, установленным в объявлении о проведении отбора, или непредставление (представление не в полном объеме) указанных документов;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недостоверность представленной участником отбора информации;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подача участником отбора заявки после даты и (или) времени окончания подачи (приема) заявок, установленных в объявлении о проведении отбора.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843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В целях проверки участников отбора на соответствие требованиям, установленным в пунктах 1.5.,</w:t>
        <w:tab/>
        <w:t>2.3. Порядка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предоставления субсидии, в соответствии с требованиями пункта 2.17 Порядка предоставления субсидии департаментом ЖКХ были запрошены: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сведения из Единого государственного реестра юридических лиц в отношении АО "УК №1" и ООО "УК "Диалог";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выписки из реестра лицензий на осуществление предпринимательской деятельности по управлению многоквартирными домами АО "УК №1" и ООО "УК" Диалог";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rStyle w:val="CharStyle3"/>
        </w:rPr>
        <w:t>выписки из Единого государственного реестра недвижимости на земельные участки;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в структурных подразделениях администрации города информация о неполучении участниками отбора средств из бюджета города на основании иных нормативных правовых актов на финансовое обеспечение затрат по благоустройству территорий, прилегающих к многоквартирным домам.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Кроме того, департаментом ЖКХ была проверена информация о ненахождении участников отбора в процессе реорганизации, ликвидации, не введении в отношении них процедуры банкротства, неприостановлении деятельности участников отбора,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посредством доступных источников - информационной системы "Мой арбитр" (раздел "Картотека дел"), единого федерального реестра сведений о банкротстве, официального сайта федеральной налоговой службы.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В соответствии с п. 2.7 Порядка предоставления субсидии участник отбора вправе подать заявку в отношении каждого многоквартирного дома или группы домов (в случае, если земельный участок сформирован под несколько многоквартирных домов), находящихся в управлении данного участника отбора, расположенных на земельном участке, состоящем на государственном кадастровом учете и являющемся общей долевой собственностью собственников помещений в многоквартирном доме, за исключением многоквартирных домов (групп домов):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включенных в перечень сноса непригодного для проживания жилищного фонда г. Нижневартовска, утвержденный постановлением администрации города;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продолжительность эксплуатации которых менее 5 лет после ввода в эксплуатацию (в случае, если ввод в эксплуатацию многоквартирного дома осуществлялся отдельными этапами после ввода в эксплуатацию последней жилой секции, подъезда);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продолжительность эксплуатации которых менее 5 лет после выполнения благоустройства территории, прилегающей к многоквартирному дому, за счет средств бюджета города.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В случае если в составе группы домов, расположенных на одном земельном участке, имеется хотя бы один многоквартирный дом, соответствующий одному из признаков, указанных в абзацах втором, четвертом настоящего пункта, данное исключение распространяется на всю группу домов.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Комиссия проверила, что многоквартирные дома по адресам: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ул. Пионерская, д. д. 9, 11;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ул. Мира, д. д. 14, 14а;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ул. Нефтяников, д.64: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rStyle w:val="CharStyle3"/>
        </w:rPr>
        <w:t>— расположены на земельных участках, состоящих на государственном кадастровом учете, и являются общей долевой собственностью собственников помещений в многоквартирном доме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3"/>
        </w:rPr>
        <w:t>(на основании выписок из ЕГРН);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580"/>
        <w:jc w:val="left"/>
      </w:pPr>
      <w:r>
        <w:rPr>
          <w:rStyle w:val="CharStyle3"/>
        </w:rPr>
        <w:t>— не подлежат сносу в соответствии с постановлениями администрации города;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591" w:val="left"/>
          <w:tab w:pos="8918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продолжительность</w:t>
        <w:tab/>
        <w:t>эксплуатации</w:t>
        <w:tab/>
        <w:t>данных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многоквартирных домов более 5 лет после ввода в эксплуатацию (на основании данных ГИС ЖКХ);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</w:rPr>
        <w:t>благоустройство территорий, прилегающих к данным многоквартирным домам, в период с 2019 г. по настоящее время за счет средств бюджета города не выполнялось (на основании данных департамента ЖКХ, как главного распорядителя средств бюджета города на предоставление субсидии в целях финансового обеспечения затрат по благоустройству территорий, прилегающих 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многоквартирным домам).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57530" distL="0" distR="0" simplePos="0" relativeHeight="125829378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0</wp:posOffset>
                </wp:positionV>
                <wp:extent cx="5989320" cy="2654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8932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Все поданные заявки соответствовали установленным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8.850000000000009pt;margin-top:0;width:471.60000000000002pt;height:20.900000000000002pt;z-index:-125829375;mso-wrap-distance-left:0;mso-wrap-distance-right:0;mso-wrap-distance-bottom:43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Все поданные заявки соответствовали установленным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0" distL="0" distR="0" simplePos="0" relativeHeight="125829380" behindDoc="0" locked="0" layoutInCell="1" allowOverlap="1">
                <wp:simplePos x="0" y="0"/>
                <wp:positionH relativeFrom="page">
                  <wp:posOffset>762635</wp:posOffset>
                </wp:positionH>
                <wp:positionV relativeFrom="paragraph">
                  <wp:posOffset>152400</wp:posOffset>
                </wp:positionV>
                <wp:extent cx="3212465" cy="67056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12465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требованиям к участникам пунктами 1.5, 2.3 Порядка требованиям, предъявляемым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0.050000000000004pt;margin-top:12.pt;width:252.95000000000002pt;height:52.800000000000004pt;z-index:-125829373;mso-wrap-distance-left:0;mso-wrap-distance-top:1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требованиям к участникам пунктами 1.5, 2.3 Порядка требованиям, предъявляемым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00" distB="0" distL="0" distR="0" simplePos="0" relativeHeight="125829382" behindDoc="0" locked="0" layoutInCell="1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152400</wp:posOffset>
                </wp:positionV>
                <wp:extent cx="2980690" cy="6705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0690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отбора в соответствии с предоставления субсидии и к срокам подачи, форме,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5.75pt;margin-top:12.pt;width:234.70000000000002pt;height:52.800000000000004pt;z-index:-125829371;mso-wrap-distance-left:0;mso-wrap-distance-top:1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отбора в соответствии с предоставления субсидии и к срокам подачи, форме,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" w:name="bookmark2"/>
      <w:r>
        <w:rPr>
          <w:rStyle w:val="CharStyle9"/>
          <w:b/>
          <w:bCs/>
        </w:rPr>
        <w:t>содержанию заявок и документов.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</w:rPr>
        <w:t xml:space="preserve">К рассмотрению на </w:t>
      </w:r>
      <w:r>
        <w:rPr>
          <w:rStyle w:val="CharStyle3"/>
          <w:lang w:val="en-US" w:eastAsia="en-US" w:bidi="en-US"/>
        </w:rPr>
        <w:t xml:space="preserve">II </w:t>
      </w:r>
      <w:r>
        <w:rPr>
          <w:rStyle w:val="CharStyle3"/>
        </w:rPr>
        <w:t>этапе отбора были допущены все 3 заявки, на общую сумму 27 784 938,72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</w:rPr>
        <w:t>На основании п. 2.31 Порядка предоставления субсидии в связи с недостаточным объемом бюджетных ассигнований, предусмотренных для предоставления субсидии на 2024 финансовый год, заявка управляющей организации - акционерного общества "Управляющая компания №1" в отношении многоквартирных домов ул. Мира 14, 14а была отклонена, в связи с недостаточностью выделенных субсидий.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160"/>
        <w:jc w:val="left"/>
      </w:pPr>
      <w:r>
        <w:rPr>
          <w:rStyle w:val="CharStyle3"/>
          <w:b/>
          <w:bCs/>
        </w:rPr>
        <w:t>Перечень многоквартирных домов (групп домов), прилегающие территории к которым планируется благоустроить в 2024 г. за счет субсидии из бюджета города:</w:t>
      </w:r>
    </w:p>
    <w:tbl>
      <w:tblPr>
        <w:tblOverlap w:val="never"/>
        <w:jc w:val="left"/>
        <w:tblLayout w:type="fixed"/>
      </w:tblPr>
      <w:tblGrid>
        <w:gridCol w:w="792"/>
        <w:gridCol w:w="2693"/>
        <w:gridCol w:w="2698"/>
        <w:gridCol w:w="1795"/>
        <w:gridCol w:w="1949"/>
      </w:tblGrid>
      <w:tr>
        <w:trPr>
          <w:trHeight w:val="22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14"/>
                <w:sz w:val="30"/>
                <w:szCs w:val="3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Адрес МКД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4"/>
                <w:sz w:val="24"/>
                <w:szCs w:val="24"/>
              </w:rPr>
              <w:t xml:space="preserve">Управляющая </w:t>
            </w:r>
            <w:r>
              <w:rPr>
                <w:rStyle w:val="CharStyle14"/>
              </w:rPr>
              <w:t>организация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Стоимость </w:t>
            </w:r>
            <w:r>
              <w:rPr>
                <w:rStyle w:val="CharStyle14"/>
                <w:sz w:val="24"/>
                <w:szCs w:val="24"/>
              </w:rPr>
              <w:t xml:space="preserve">выполнения работ, </w:t>
            </w:r>
            <w:r>
              <w:rPr>
                <w:rStyle w:val="CharStyle14"/>
              </w:rPr>
              <w:t>руб.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rStyle w:val="CharStyle14"/>
              </w:rPr>
              <w:t>Сумма субсидии из городского бюджета, руб.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14"/>
                <w:sz w:val="30"/>
                <w:szCs w:val="3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5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>ул. Нефтяников, Д.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ООО "УК "Диалог"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4 947</w:t>
            </w:r>
          </w:p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648,30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4 650</w:t>
            </w:r>
          </w:p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789,40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>ул. Пионерская, Д. Д. 9,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Style w:val="CharStyle14"/>
                <w:sz w:val="30"/>
                <w:szCs w:val="30"/>
              </w:rPr>
              <w:t>АО"УК-№Г'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11 112</w:t>
            </w:r>
          </w:p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363,34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4"/>
              </w:rPr>
              <w:t>10 556</w:t>
            </w:r>
          </w:p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440"/>
              <w:jc w:val="both"/>
            </w:pPr>
            <w:r>
              <w:rPr>
                <w:rStyle w:val="CharStyle14"/>
              </w:rPr>
              <w:t>745,17</w:t>
            </w:r>
          </w:p>
        </w:tc>
      </w:tr>
      <w:tr>
        <w:trPr>
          <w:trHeight w:val="845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926" w:h="5170" w:vSpace="715" w:wrap="notBeside" w:vAnchor="text" w:hAnchor="text" w:x="21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16 060 011,64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15 207</w:t>
            </w:r>
          </w:p>
          <w:p>
            <w:pPr>
              <w:pStyle w:val="Style13"/>
              <w:keepNext w:val="0"/>
              <w:keepLines w:val="0"/>
              <w:framePr w:w="9926" w:h="5170" w:vSpace="715" w:wrap="notBeside" w:vAnchor="text" w:hAnchor="text" w:x="21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534,57</w:t>
            </w:r>
          </w:p>
        </w:tc>
      </w:tr>
    </w:tbl>
    <w:p>
      <w:pPr>
        <w:pStyle w:val="Style18"/>
        <w:keepNext w:val="0"/>
        <w:keepLines w:val="0"/>
        <w:framePr w:w="317" w:h="422" w:hSpace="211" w:wrap="notBeside" w:vAnchor="text" w:hAnchor="text" w:x="620" w:y="5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3.</w:t>
      </w:r>
    </w:p>
    <w:p>
      <w:pPr>
        <w:pStyle w:val="Style18"/>
        <w:keepNext w:val="0"/>
        <w:keepLines w:val="0"/>
        <w:framePr w:w="8477" w:h="422" w:hSpace="211" w:wrap="notBeside" w:vAnchor="text" w:hAnchor="text" w:x="1470" w:y="5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Основные направления работы общественного совета</w:t>
      </w:r>
    </w:p>
    <w:p>
      <w:pPr>
        <w:widowControl w:val="0"/>
        <w:spacing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9"/>
          <w:b/>
          <w:bCs/>
        </w:rPr>
        <w:t>г. Нижневартовска по вопросам ЖКХ в 3 квартале 2024 г.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b/>
          <w:bCs/>
        </w:rPr>
        <w:t xml:space="preserve">— В публичных слушаниях по обсуждению проекта актуализированной схемы теплоснабжения г. Нижневартовска </w:t>
      </w:r>
      <w:r>
        <w:rPr>
          <w:rStyle w:val="CharStyle3"/>
        </w:rPr>
        <w:t>принял участие заместитель председателя общественного совета г. Нижневартовска по вопросам жилищно-коммунального хозяйства Униковский А. 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 xml:space="preserve">В целях обеспечения участия жителей города в осуществлении местного самоуправления, руководствуясь Федеральным законом от 06.10.2003 г. №131-ФЗ "Об общих принципах организации местного самоуправления в Российской Федерации", Уставом г. Нижневартовска, </w:t>
      </w:r>
      <w:r>
        <w:rPr>
          <w:rStyle w:val="CharStyle3"/>
          <w:color w:val="333333"/>
        </w:rPr>
        <w:t xml:space="preserve">на основании требований Федерального закона от 27.07.2010 г. №190-ФЗ «О теплоснабжении» администрация города Нижневартовска провела конкурс на выполнение работ по актуализации схемы теплоснабжения муниципального образования г. Нижневартовск. </w:t>
      </w:r>
      <w:r>
        <w:rPr>
          <w:rStyle w:val="CharStyle3"/>
          <w:b/>
          <w:bCs/>
          <w:color w:val="333333"/>
        </w:rPr>
        <w:t xml:space="preserve">Победителем конкурса стало общество с ограниченной ответственностью «ЯНЭНЕРГО» г. Санкт- Петербург. </w:t>
      </w:r>
      <w:r>
        <w:rPr>
          <w:rStyle w:val="CharStyle3"/>
          <w:color w:val="333333"/>
        </w:rPr>
        <w:t>Проект актуализированной редакции схемы теплоснабжения муниципального образования г. Нижневартовск выполнен в объеме требований постановления Правительства Российской Федерации от 22.02.2012 г. №154 «О требованиях к схемам теплоснабжения, порядку их разработки и утверждения».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color w:val="333333"/>
        </w:rPr>
        <w:t>Мероприятия на тепловых сетях: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color w:val="333333"/>
        </w:rPr>
        <w:t>1. Подключение теплоснабжения МКД 2,2 А по ул. Осенней, по ул. Рабочей (3 дома) от тепловой камеры ТК Мкр.2 П-14 П (возле МКД 14 по ул. Декабристов). Протяжённость 1000 м, диаметр до 100 мм, срок до 2030 г.;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color w:val="333333"/>
        </w:rPr>
        <w:t>Строительство сетей теплоснабжения по ул. ул. Северной, Героев Самотлора, Нововартовской, Салманова. Финансовые затраты составляют 1 615, 15 млн. рублей;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color w:val="333333"/>
        </w:rPr>
        <w:t>Модернизация (техническое перевооружение) тепловых сетей;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color w:val="333333"/>
        </w:rPr>
        <w:t>Модернизация (техническое перевооружение) сетей горячего водоснабжения;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21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color w:val="333333"/>
        </w:rPr>
        <w:t>Модернизация (техническое перевооружение) тепловых сетей по результатам гидравлических испытаний.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02.09.2024 г. </w:t>
      </w:r>
      <w:r>
        <w:rPr>
          <w:rStyle w:val="CharStyle3"/>
        </w:rPr>
        <w:t xml:space="preserve">состоялась Рабочая поездка </w:t>
      </w:r>
      <w:r>
        <w:rPr>
          <w:rStyle w:val="CharStyle3"/>
          <w:b/>
          <w:bCs/>
        </w:rPr>
        <w:t xml:space="preserve">главы </w:t>
      </w:r>
      <w:r>
        <w:rPr>
          <w:rStyle w:val="CharStyle3"/>
        </w:rPr>
        <w:t xml:space="preserve">г. Нижневартовска с участием председателя общественного совета г. Нижневартовска </w:t>
      </w:r>
      <w:r>
        <w:rPr>
          <w:rStyle w:val="CharStyle3"/>
          <w:b/>
          <w:bCs/>
        </w:rPr>
        <w:t>Волохиной Н. А</w:t>
      </w:r>
      <w:r>
        <w:rPr>
          <w:rStyle w:val="CharStyle3"/>
        </w:rPr>
        <w:t xml:space="preserve">. и члена общественного совета г. Нижневартовска </w:t>
      </w:r>
      <w:r>
        <w:rPr>
          <w:rStyle w:val="CharStyle3"/>
          <w:b/>
          <w:bCs/>
        </w:rPr>
        <w:t xml:space="preserve">Лазаревой В. Н., </w:t>
      </w:r>
      <w:r>
        <w:rPr>
          <w:rStyle w:val="CharStyle3"/>
        </w:rPr>
        <w:t>посвящённой подготовке города к работе в осенне-зимний период. Проверили выполнение мероприятий инвестиционной программы на объектах предприятия «Нижневартовские Коммунальные системы». В 2024 г. запланировано реконструировать 10 участков сети водоснабжения и 1 участок водоотведения. Главная цель всех работ, выполняемых инвестором, повышение качества и надёжности услуг для вартовчан, недопущение аварийных ситуаций. Общий объём средств на модернизацию коммунальной инфраструктуры в 2024 г. составит 1,4 млрд. рублей.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260" w:right="0" w:hanging="26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>Приёмка многоквартирных домов в г. Нижневартовске после капитального ремонта в 3-м квартале 2024г.: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20" w:right="0" w:hanging="340"/>
        <w:jc w:val="left"/>
      </w:pPr>
      <w:r>
        <w:rPr>
          <w:rStyle w:val="CharStyle3"/>
        </w:rPr>
        <w:t>п-т Победы, д. 18 - капремонт отмостки, выполненные работы не приняты, проверка назначена повторно. Подрядчик «НТСМ»;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20" w:right="0" w:hanging="340"/>
        <w:jc w:val="left"/>
      </w:pPr>
      <w:r>
        <w:rPr>
          <w:rStyle w:val="CharStyle3"/>
        </w:rPr>
        <w:t>ул. Дружбы Народов, д. 20 - капремонт крыши, выполненные работы приняты с небольшими замечаниями. Подрядчик «Югра- Гранит»;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Дружбы Народов, д. 20 А - капремонт крыши;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Дружбы Народов, д. 26 -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  <w:tab w:pos="6408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Интернациональная, д. 6</w:t>
        <w:tab/>
        <w:t>- капремонт системы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3"/>
        </w:rPr>
        <w:t>теплоснабжения;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Мира, д. 16 - капремонт крыши; капремонт подвала;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20" w:right="0" w:hanging="340"/>
        <w:jc w:val="left"/>
      </w:pPr>
      <w:r>
        <w:rPr>
          <w:rStyle w:val="CharStyle3"/>
        </w:rPr>
        <w:t>ул. Мира, 38 А - капремонт системы теплоснабжения, холодного и горячего водоснабжения;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2" w:lineRule="auto"/>
        <w:ind w:left="0" w:right="0" w:firstLine="360"/>
        <w:jc w:val="left"/>
      </w:pPr>
      <w:r>
        <w:rPr>
          <w:rStyle w:val="CharStyle3"/>
        </w:rPr>
        <w:t>ул. Мира, д. 60/1 - капремонт подвала;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2" w:lineRule="auto"/>
        <w:ind w:left="0" w:right="0" w:firstLine="360"/>
        <w:jc w:val="left"/>
      </w:pPr>
      <w:r>
        <w:rPr>
          <w:rStyle w:val="CharStyle3"/>
        </w:rPr>
        <w:t>ул. Мира, д. 60/2 -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2" w:lineRule="auto"/>
        <w:ind w:left="0" w:right="0" w:firstLine="360"/>
        <w:jc w:val="left"/>
      </w:pPr>
      <w:r>
        <w:rPr>
          <w:rStyle w:val="CharStyle3"/>
        </w:rPr>
        <w:t>ул. Мира, д. 60/3 - капремонт подвала;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2" w:lineRule="auto"/>
        <w:ind w:left="0" w:right="0" w:firstLine="360"/>
        <w:jc w:val="left"/>
      </w:pPr>
      <w:r>
        <w:rPr>
          <w:rStyle w:val="CharStyle3"/>
        </w:rPr>
        <w:t>ул. Мира, д. 60/4-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Мира, д. 76/А - капремонт крыши;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Северная, д. 4 -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20" w:right="0" w:hanging="340"/>
        <w:jc w:val="left"/>
      </w:pPr>
      <w:r>
        <w:rPr>
          <w:rStyle w:val="CharStyle3"/>
        </w:rPr>
        <w:t>ул. Северная, д. 6 А - капремонт фасада, работы приняты с небольшими замечаниями. Представитель подрядной организации ООО «ИТЭК»;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Северная, д. 20 - капремонт системы теплоснабжения;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Северная, д. 78 - капремонт системы теплоснабжения;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М. Жукова, д. 16 - капремонт системы водоотведения;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М. Жукова, д. 18 - капремонт системы водоотведения;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М. Жукова, д. 20 -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М. Жукова, д. 22 - капремонт крыши; фасада.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М. Жукова, д. 30 -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М. Жукова, д. 32 -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М. Жукова, д. 36 - капремонт крыши;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пр. Победы, д. 18 - капремонт крыши;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Чапаева, д. 49 Б - капремонт фасада с утеплением;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Чапаева, д.9 Б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Спортивная, д. 17 А - капремонт системы теплоснабжения;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54" w:lineRule="auto"/>
        <w:ind w:left="720" w:right="0" w:hanging="340"/>
        <w:jc w:val="left"/>
      </w:pPr>
      <w:r>
        <w:rPr>
          <w:rStyle w:val="CharStyle3"/>
        </w:rPr>
        <w:t>ул. Ханты-Мансийская, д. 39 А - капремонт системы теплоснабжения;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Ханты-Мансийская, д. 43 А 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Ленина, д. 25 б- капремонт фасада;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ул. Ленина, д. 29 а- капремонт крыши;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rStyle w:val="CharStyle3"/>
        </w:rPr>
        <w:t>п. Магистраль, д. 31- капремонт фасада;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  <w:b/>
          <w:bCs/>
        </w:rPr>
        <w:t>— Приёмка после капремонта лифтового оборудования на многоквартирных домах: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15" w:val="left"/>
        </w:tabs>
        <w:bidi w:val="0"/>
        <w:spacing w:before="0" w:after="0" w:line="264" w:lineRule="auto"/>
        <w:ind w:left="0" w:right="0" w:firstLine="360"/>
        <w:jc w:val="left"/>
      </w:pPr>
      <w:r>
        <w:rPr>
          <w:rStyle w:val="CharStyle3"/>
        </w:rPr>
        <w:t>ул. Мира, д. 60/6, под. под. 1, 2, 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По результатам рейтинга управляющих организаций, осуществляющих деятельность по управлению многоквартирными домами на территории г. Нижневартовска за 1 полугодие 2024 г. </w:t>
      </w:r>
      <w:r>
        <w:rPr>
          <w:rStyle w:val="CharStyle3"/>
        </w:rPr>
        <w:t>места распределились следующим образом: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1 место - ООО «Управляющая компания - Квадратные метры»;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2 место- ООО «Управляющая компания - «НВ Град»;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3 место-ООО «Данко».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1080"/>
        <w:jc w:val="left"/>
      </w:pPr>
      <w:r>
        <w:rPr>
          <w:rStyle w:val="CharStyle3"/>
        </w:rPr>
        <w:t>Рейтингование управляющих компаний, осуществляющих деятельность по управлению МКД на территории ХМАО-Югры было принято во исполнение приказа Службы жилищного и строительного надзора ХМАО-Югры от 07.12.2022г.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— Приёмочная комиссия в составе членов общественного совета г. Нижневартовска по вопросам ЖКХ: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42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rStyle w:val="CharStyle3"/>
          <w:b/>
          <w:bCs/>
        </w:rPr>
        <w:t xml:space="preserve">Лазаревой В. Н. </w:t>
      </w:r>
      <w:r>
        <w:rPr>
          <w:rStyle w:val="CharStyle3"/>
        </w:rPr>
        <w:t xml:space="preserve">произвели приёмку жилых помещений муниципального жилищного фонда после капремонта: </w:t>
      </w:r>
      <w:r>
        <w:rPr>
          <w:rStyle w:val="CharStyle3"/>
          <w:rFonts w:ascii="Arial" w:eastAsia="Arial" w:hAnsi="Arial" w:cs="Arial"/>
          <w:sz w:val="26"/>
          <w:szCs w:val="26"/>
        </w:rPr>
        <w:t xml:space="preserve">• </w:t>
      </w:r>
      <w:r>
        <w:rPr>
          <w:rStyle w:val="CharStyle3"/>
        </w:rPr>
        <w:t>ул. Мира, д. 16, кв. кв. 94, 142.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42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rStyle w:val="CharStyle3"/>
          <w:b/>
          <w:bCs/>
        </w:rPr>
        <w:t xml:space="preserve">Униковский А. А. </w:t>
      </w:r>
      <w:r>
        <w:rPr>
          <w:rStyle w:val="CharStyle3"/>
        </w:rPr>
        <w:t>принял участие в обследовании жилых помещений муниципального жилищного фонда для составления дефектной ведомости капремонта: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ул. Дружбы Народов, д. 31, кв. 70;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ул. Мира д.18 А, кв. кв. 5, 2;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п-т Победы, д. 24, кв. 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С 12 августа 2024 г. по 30 августа 2024 г. комиссия, образованная Департаментом ЖКХ, с участием общественного совета г. Нижневартовска по вопросам ЖКХ, МЧС, УК, представителей Департамента ЖКХ, проводила рабочие поездки на объекты предприятий коммунального хозяйства </w:t>
      </w:r>
      <w:r>
        <w:rPr>
          <w:rStyle w:val="CharStyle3"/>
        </w:rPr>
        <w:t>(потребителей тепловой энергии), жилого фонда, теплоснабжающих, теплосетевых предприятий с целью проведения проверки готовности к отопительному периоду 2024-2025 г. г. Также были обследованы все подведомственные учреждения социальной сферы, по их готовности к работе в отопительный период 2024-2025 г.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  <w:b/>
          <w:bCs/>
        </w:rPr>
        <w:t xml:space="preserve">По итогам проверки </w:t>
      </w:r>
      <w:r>
        <w:rPr>
          <w:rStyle w:val="CharStyle3"/>
        </w:rPr>
        <w:t xml:space="preserve">комиссией была отмечена хорошая подготовка к работе в ОЗП 2024-2025г. г. УК «Диалог», УК «Пилот», ТСЖ «Надежда», УК «Крепость», УК «НВ-град», УК «Квартал», ТСЖ «Спутник», УК «Ладья», АО «ЖТ № 1», ООО «Нижневартовские коммунальные системы», ООО «Нижневартовскгаз». В ходе ремонта на некоторых МКД заменены тепловые узлы теплоснабжения. Система теплоснабжения заизолирована, инженерные сети и кровля в хорошем состоянии, замечаний по тепловым узлам в подвале нет, схемы теплового узла находятся на видном месте, подвалы сухие, освещены, завезён свежий песок, выполнена гидропневматическая промывка системы теплоснабжения, акты промывки системы отопления и тепловых сетей подписаны представителями филиала АО «Горэлектросеть», Управлением теплоснабжения и Энергонадзором. </w:t>
      </w:r>
      <w:r>
        <w:rPr>
          <w:rStyle w:val="CharStyle3"/>
          <w:b/>
          <w:bCs/>
        </w:rPr>
        <w:t xml:space="preserve">Выводы комиссии: </w:t>
      </w:r>
      <w:r>
        <w:rPr>
          <w:rStyle w:val="CharStyle3"/>
        </w:rPr>
        <w:t xml:space="preserve">объекты жилого фонда указанных управляющих компаний имеют право на получение паспортов готовности к отопительному периоду 2024-2025 г. г., но в связи с тем, что одним из условий выдачи паспорта готовности к отопительному периоду является отсутствие задолженности за поставленную тепловую энергию(мощность) и теплоноситель, 12-ти УК города паспорта будут подготовлены после погашения имеющейся задолженности или </w:t>
      </w:r>
      <w:r>
        <w:rPr>
          <w:rStyle w:val="CharStyle3"/>
        </w:rPr>
        <w:t>заключения соглашения о погашении задолженности перед теплоснабжающей организацией.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Комиссия отметила: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720" w:right="0" w:hanging="360"/>
        <w:jc w:val="left"/>
      </w:pPr>
      <w:r>
        <w:rPr>
          <w:rStyle w:val="CharStyle3"/>
        </w:rPr>
        <w:t>УК «Пирс» - аварийное состояние техподполья ул. Салманова, д. 7, проржавевшие канализационные трубы заливают подвал, песок свежий отсутствует, состояние тепловых сетей неудовлетворительное, изоляция труб тепловых сетей нарушена;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00" w:val="left"/>
        </w:tabs>
        <w:bidi w:val="0"/>
        <w:spacing w:before="0" w:after="0" w:line="264" w:lineRule="auto"/>
        <w:ind w:left="0" w:right="0" w:firstLine="360"/>
        <w:jc w:val="both"/>
      </w:pPr>
      <w:r>
        <w:rPr>
          <w:rStyle w:val="CharStyle3"/>
        </w:rPr>
        <w:t>ООО «Ренако»: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60" w:val="left"/>
        </w:tabs>
        <w:bidi w:val="0"/>
        <w:spacing w:before="0" w:after="0" w:line="264" w:lineRule="auto"/>
        <w:ind w:left="1160" w:right="0" w:hanging="420"/>
        <w:jc w:val="left"/>
      </w:pPr>
      <w:r>
        <w:rPr>
          <w:rStyle w:val="CharStyle3"/>
        </w:rPr>
        <w:t>ул. Ханты-Мансийская, д. 27 - тепловой узел заменён, схема висит старая;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060" w:val="left"/>
        </w:tabs>
        <w:bidi w:val="0"/>
        <w:spacing w:before="0" w:after="0" w:line="264" w:lineRule="auto"/>
        <w:ind w:left="1160" w:right="0" w:hanging="420"/>
        <w:jc w:val="left"/>
      </w:pPr>
      <w:r>
        <w:rPr>
          <w:rStyle w:val="CharStyle3"/>
        </w:rPr>
        <w:t>ул. Ленина, д. 25 а - обнаружена течь на входе в подвал от отмостки дома.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4" w:val="left"/>
        </w:tabs>
        <w:bidi w:val="0"/>
        <w:spacing w:before="0" w:after="0" w:line="262" w:lineRule="auto"/>
        <w:ind w:left="720" w:right="0" w:hanging="360"/>
        <w:jc w:val="left"/>
      </w:pPr>
      <w:r>
        <w:rPr>
          <w:rStyle w:val="CharStyle3"/>
        </w:rPr>
        <w:t>МУП Прэт-3 - ул. Осенняя, д. 2, ул. Рабочая, д. 47 - в техподполье стоят грунтовые воды, система теплоснабжения заизолирована частично, требуется косметический ремонт подвала.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4" w:val="left"/>
        </w:tabs>
        <w:bidi w:val="0"/>
        <w:spacing w:before="0" w:after="0" w:line="240" w:lineRule="auto"/>
        <w:ind w:left="720" w:right="0" w:hanging="360"/>
        <w:jc w:val="left"/>
      </w:pPr>
      <w:r>
        <w:rPr>
          <w:rStyle w:val="CharStyle3"/>
        </w:rPr>
        <w:t>УК «Диалог» - ул. Ханты-Мансийская, д. 45 - выполнен капитальный ремонт входных групп, установлены двери, доводчики, но двери плотно не закрываются. Управляющая компания обещала проработать этот вопрос с Югорским фондом капремонта.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</w:rPr>
        <w:t>На реализацию мероприятий по подготовке объектов жилищно</w:t>
        <w:softHyphen/>
        <w:t>коммунального хозяйства к работе в осенне-зимний период запланировано выделить 413,76 млн. рублей внебюджетных средств предприятий, из которых 391,67 млн. рублей на подготовку инженерных сетей и коммунальной инфраструктуры и 22,9 млн. рублей на подготовку жилищного фонда.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  <w:b/>
          <w:bCs/>
        </w:rPr>
        <w:t xml:space="preserve">30 августа 2024 г. при главе г. Нижневартовска состоялся публичный </w:t>
      </w:r>
      <w:r>
        <w:rPr>
          <w:rStyle w:val="CharStyle3"/>
        </w:rPr>
        <w:t>отчёт по вопросу готовности теплоснабжающих и управляющих организаций к отопительному периоду 2024-2025 г. г. В первую очередь подача тепла возобновляется на объекты социальной инфраструктуры города после поступления заявок от соответствующих организаций, в жилищный фонд будет осуществляться при установлении среднесуточной температуры ниже 8 градусов на протяжении пяти суток.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  <w:b/>
          <w:bCs/>
        </w:rPr>
        <w:t>Рекомендовано теплоснабжающим организациям города: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47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Обеспечить запас аварийного топлива согласно нормативам;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Обеспечить наличие аварийно-восстановительных бригад;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Обеспечить аварийный запас материально-технических ресурсов.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  <w:b/>
          <w:bCs/>
        </w:rPr>
        <w:t xml:space="preserve">18 сентября 2024 г. при общественной палате Югры </w:t>
      </w:r>
      <w:r>
        <w:rPr>
          <w:rStyle w:val="CharStyle3"/>
        </w:rPr>
        <w:t>состоялось заседание Комиссии в формате ВКС «О реализации механизма комплексного развития территорий в Ханты-Мансийском автономном округе-Югре»: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295" w:val="left"/>
        </w:tabs>
        <w:bidi w:val="0"/>
        <w:spacing w:before="0" w:after="0" w:line="264" w:lineRule="auto"/>
        <w:ind w:left="0" w:right="0" w:firstLine="940"/>
        <w:jc w:val="left"/>
      </w:pPr>
      <w:r>
        <w:rPr>
          <w:rStyle w:val="CharStyle3"/>
        </w:rPr>
        <w:t>общественный контроль;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295" w:val="left"/>
        </w:tabs>
        <w:bidi w:val="0"/>
        <w:spacing w:before="0" w:after="60" w:line="264" w:lineRule="auto"/>
        <w:ind w:left="0" w:right="0" w:firstLine="940"/>
        <w:jc w:val="left"/>
      </w:pPr>
      <w:r>
        <w:rPr>
          <w:rStyle w:val="CharStyle3"/>
        </w:rPr>
        <w:t>антикоррупционная политика;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286" w:val="left"/>
        </w:tabs>
        <w:bidi w:val="0"/>
        <w:spacing w:before="0" w:after="0" w:line="240" w:lineRule="auto"/>
        <w:ind w:left="0" w:right="0" w:firstLine="940"/>
        <w:jc w:val="left"/>
      </w:pPr>
      <w:r>
        <w:rPr>
          <w:rStyle w:val="CharStyle3"/>
        </w:rPr>
        <w:t xml:space="preserve">территориальное развитие и местное самоуправление. Решение о включении многоквартирного дома в границы территорий жилой застройки, подлежащей комплексному развитию в соответствии с проектом решения о комплексном развитии такой </w:t>
      </w:r>
      <w:r>
        <w:rPr>
          <w:rStyle w:val="CharStyle3"/>
        </w:rPr>
        <w:t>территории требует не менее 2/3 голосов от общего числа голосов собственников жилых помещений МКД. (п.1ч.13 ст.46 ЖК РФ).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rStyle w:val="CharStyle3"/>
        </w:rPr>
        <w:t>Решение об исключении многоквартирного дома из границ такой территории из проекта решения о комплексном развитии территории жилой застройки требует не менее 1/3 голосов от общего числа голосов собственников жилых помещений МКД. (п.2ч.13 ст.46 ЖК РФ.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3"/>
        </w:rPr>
        <w:t>Успех проекта комплексного развития территорий (КРТ) зависит от решения и информированности граждан в многоквартирном доме.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bookmarkStart w:id="6" w:name="bookmark6"/>
      <w:r>
        <w:rPr>
          <w:rStyle w:val="CharStyle9"/>
          <w:b/>
          <w:bCs/>
        </w:rPr>
        <w:t>Мои инициативы: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rStyle w:val="CharStyle3"/>
        </w:rPr>
        <w:t xml:space="preserve">— Направлено </w:t>
      </w:r>
      <w:r>
        <w:rPr>
          <w:rStyle w:val="CharStyle3"/>
          <w:b/>
          <w:bCs/>
        </w:rPr>
        <w:t xml:space="preserve">Обращение к Главе г. Нижневартовска </w:t>
      </w:r>
      <w:r>
        <w:rPr>
          <w:rStyle w:val="CharStyle3"/>
        </w:rPr>
        <w:t>о поощрении активного члена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г. Нижневартовска по вопросам ЖКХ, в связи с днём рождения Лазаревой В. Н. </w:t>
      </w:r>
      <w:r>
        <w:rPr>
          <w:rStyle w:val="CharStyle3"/>
          <w:b/>
          <w:bCs/>
        </w:rPr>
        <w:t xml:space="preserve">За время работы в </w:t>
      </w:r>
      <w:r>
        <w:rPr>
          <w:rStyle w:val="CharStyle3"/>
          <w:b/>
          <w:bCs/>
          <w:u w:val="single"/>
        </w:rPr>
        <w:t xml:space="preserve">Общественном совете г. Нижневартовска по вопросам жилищно-коммунального хозяйства Лазарева Валентина Николаевна зарекомендовала себя ответственным, добросовестным работником при решении вопросов жилищно-коммунальной направленности, </w:t>
      </w:r>
      <w:r>
        <w:rPr>
          <w:rStyle w:val="CharStyle3"/>
          <w:u w:val="single"/>
        </w:rPr>
        <w:t>умение взаимодействовать с людьми, не допускает нарушений посещения заседаний общественного совета, в конфликтные ситуации не вступает, соблюдает нормы закона этики поведения, в отношении с коллегами вежлива, тактична, пользуется авторитетом среди членов совета, умеет отстаивать свою позицию. К решению важных задач, стоящих перед Общественным советом г. Нижневартовска по вопросам жилищно-коммунального хозяйства, Валентина Николаевна проявляет профессионализм, объективность. Качественно и в срок выполняет поручения общественного совета г. Нижневартовска по вопросам жилищно-коммунального хозяйства.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В информационном чате Общественного совета г. Нижневартовска по вопросам ЖКХ </w:t>
      </w:r>
      <w:r>
        <w:rPr>
          <w:rStyle w:val="CharStyle3"/>
        </w:rPr>
        <w:t>ежедневно доводится информация о проделанной работе путём предоставления членами общественного совета г. Нижневартовска по вопросам ЖКХ отчётов, фото, видео в результате приёмки выполненных объёмов работ на объектах жилого фонда после капитального ремонта, выполняемого подрядчиками Югорского фонда капремонта многоквартирных домов.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640"/>
        <w:jc w:val="left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— </w:t>
      </w:r>
      <w:r>
        <w:rPr>
          <w:rStyle w:val="CharStyle3"/>
          <w:b/>
          <w:bCs/>
        </w:rPr>
        <w:t xml:space="preserve">В статусе председателя Общественного совета г. Нижневартовска по вопросам ЖКХ </w:t>
      </w:r>
      <w:r>
        <w:rPr>
          <w:rStyle w:val="CharStyle3"/>
        </w:rPr>
        <w:t>принимаю участие: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в работе постоянно действующей комиссии, созданной органами местного самоуправления, расположенной на территории муниципального образования г. Нижневартовска, действующей на основании Постановления администрации г. Нижневартовска № 288 от 11.03.2016 г. по рассмотрению заявок на предоставление субсидий из бюджета города в целях финансового обеспечения затрат по благоустройству территорий, прилегающих к многоквартирным домам;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5" w:val="left"/>
        </w:tabs>
        <w:bidi w:val="0"/>
        <w:spacing w:before="0" w:after="0" w:line="252" w:lineRule="auto"/>
        <w:ind w:left="360" w:right="0" w:hanging="360"/>
        <w:jc w:val="both"/>
      </w:pPr>
      <w:r>
        <w:rPr>
          <w:rStyle w:val="CharStyle3"/>
        </w:rPr>
        <w:t>в работе постоянно действующей комиссии по отбору инвестиционных проектов капитального строительства в</w:t>
        <w:br w:type="page"/>
      </w:r>
      <w:r>
        <w:rPr>
          <w:rStyle w:val="CharStyle3"/>
        </w:rPr>
        <w:t>г. Нижневартовске, созданной по постановлению Правительства ХМАО-Югры от 10.11.2023г.№ 561-п «О государственной программе ХМАО-Югры «Строительство», предлагаемых к реализации, в целях эффективности использования средств бюджета автономного округа, направленных на капитальные вложения по созданию объектов строительства в г. Нижневартовске.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both"/>
      </w:pPr>
      <w:r>
        <w:rPr>
          <w:rStyle w:val="CharStyle3"/>
        </w:rPr>
        <w:t>На 2025-2027 годы планируется построить в г. Нижневартовске две школы на 1125 учащихся с учётом углубленного изучения отдельных предметов с универсальной безбарьерной средой, сметной стоимостью 2 477 279,4 руб. (в ценах 1кв.2024 г.).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5" w:val="left"/>
        </w:tabs>
        <w:bidi w:val="0"/>
        <w:spacing w:before="0" w:after="0" w:line="252" w:lineRule="auto"/>
        <w:ind w:left="360" w:right="0" w:hanging="360"/>
        <w:jc w:val="both"/>
      </w:pPr>
      <w:r>
        <w:rPr>
          <w:rStyle w:val="CharStyle3"/>
        </w:rPr>
        <w:t>в рабочих поездках главы г. Нижневартовска по вопросам жилищно</w:t>
        <w:softHyphen/>
        <w:t>коммунальной направленности;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5" w:val="left"/>
        </w:tabs>
        <w:bidi w:val="0"/>
        <w:spacing w:before="0" w:after="0" w:line="252" w:lineRule="auto"/>
        <w:ind w:left="360" w:right="0" w:hanging="360"/>
        <w:jc w:val="both"/>
      </w:pPr>
      <w:r>
        <w:rPr>
          <w:rStyle w:val="CharStyle3"/>
        </w:rPr>
        <w:t>в общественных приёмках работ после капитального ремонта многоквартирных домов в г. Нижневартовске;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5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3"/>
        </w:rPr>
        <w:t>в публичных слушаниях по обсуждению готовности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rStyle w:val="CharStyle3"/>
        </w:rPr>
        <w:t>г. Нижневартовска к работе в осенне-зимний период;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360" w:right="0" w:hanging="360"/>
        <w:jc w:val="both"/>
      </w:pPr>
      <w:r>
        <w:rPr>
          <w:rStyle w:val="CharStyle3"/>
          <w:rFonts w:ascii="Arial" w:eastAsia="Arial" w:hAnsi="Arial" w:cs="Arial"/>
          <w:sz w:val="26"/>
          <w:szCs w:val="26"/>
        </w:rPr>
        <w:t xml:space="preserve">• </w:t>
      </w:r>
      <w:r>
        <w:rPr>
          <w:rStyle w:val="CharStyle3"/>
        </w:rPr>
        <w:t>направляю в адрес именинников, являющихся членами общественного совета г. Нижневартовска по вопросам ЖКХ благодарственные письма, в связи с днями рождений, с юбилейными датами, профессиональными праздниками.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640"/>
        <w:jc w:val="both"/>
      </w:pPr>
      <w:r>
        <w:rPr>
          <w:rStyle w:val="CharStyle3"/>
          <w:b/>
          <w:bCs/>
        </w:rPr>
        <w:t>Уважаемые члены общественного совета г. Нижневартовска по вопросам ЖКХ! Работа общественного совета требует больших знаний, самоотдачи, терпения и умения взаимодействовать с людьми. От неё во многом зависит настроение людей! Выражаю благодарность всем, кто принимал активное участие в работе общественного совета, поддерживал меня! Пусть дела Ваши будут добрыми, приносящие благо и комфорт окружающим! Желаю Всем Удачи, Здоровья, благородного служения людям, и оставаться такими же активными!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40"/>
        <w:jc w:val="both"/>
      </w:pPr>
      <w:r>
        <w:rPr>
          <w:rStyle w:val="CharStyle3"/>
          <w:b/>
          <w:bCs/>
        </w:rPr>
        <w:t>В силу сложившихся обстоятельств, я покидаю пост председателя общественного совета г. Нижневартовска по вопросам ЖКХ и говорю Вам До свидания.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drawing>
          <wp:anchor distT="0" distB="200660" distL="0" distR="2362200" simplePos="0" relativeHeight="62914690" behindDoc="1" locked="0" layoutInCell="1" allowOverlap="1">
            <wp:simplePos x="0" y="0"/>
            <wp:positionH relativeFrom="page">
              <wp:posOffset>3211830</wp:posOffset>
            </wp:positionH>
            <wp:positionV relativeFrom="paragraph">
              <wp:posOffset>228600</wp:posOffset>
            </wp:positionV>
            <wp:extent cx="1341120" cy="6337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41120" cy="6337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88010" distB="0" distL="2124710" distR="0" simplePos="0" relativeHeight="125829384" behindDoc="0" locked="0" layoutInCell="1" allowOverlap="1">
                <wp:simplePos x="0" y="0"/>
                <wp:positionH relativeFrom="page">
                  <wp:posOffset>5336540</wp:posOffset>
                </wp:positionH>
                <wp:positionV relativeFrom="paragraph">
                  <wp:posOffset>816610</wp:posOffset>
                </wp:positionV>
                <wp:extent cx="1576070" cy="24384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607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/Волохина Н. А./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0.19999999999999pt;margin-top:64.299999999999997pt;width:124.10000000000001pt;height:19.199999999999999pt;z-index:-125829369;mso-wrap-distance-left:167.30000000000001pt;mso-wrap-distance-top:46.3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/Волохина Н. А./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 xml:space="preserve">Председатель общественного </w:t>
      </w:r>
      <w:r>
        <w:rPr>
          <w:rStyle w:val="CharStyle3"/>
        </w:rPr>
        <w:t>совета г. Нижневартовска по вопросам ЖКХ</w:t>
      </w:r>
    </w:p>
    <w:sectPr>
      <w:footnotePr>
        <w:pos w:val="pageBottom"/>
        <w:numFmt w:val="decimal"/>
        <w:numRestart w:val="continuous"/>
      </w:footnotePr>
      <w:pgSz w:w="11900" w:h="16840"/>
      <w:pgMar w:top="254" w:right="397" w:bottom="105" w:left="115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—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2"/>
      <w:numFmt w:val="decimal"/>
      <w:lvlText w:val="%1"/>
    </w:lvl>
    <w:lvl w:ilvl="1">
      <w:start w:val="1"/>
      <w:numFmt w:val="decimal"/>
      <w:lvlText w:val="%1.%2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"/>
      <w:numFmt w:val="decimal"/>
      <w:lvlText w:val="%1"/>
    </w:lvl>
    <w:lvl w:ilvl="1">
      <w:start w:val="5"/>
      <w:numFmt w:val="decimal"/>
      <w:lvlText w:val="%1.%2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3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3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9">
    <w:name w:val="Заголовок №1_"/>
    <w:basedOn w:val="DefaultParagraphFont"/>
    <w:link w:val="Style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Другое_"/>
    <w:basedOn w:val="DefaultParagraphFont"/>
    <w:link w:val="Style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Подпись к таблице_"/>
    <w:basedOn w:val="DefaultParagraphFont"/>
    <w:link w:val="Style1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spacing w:before="5420" w:after="6520"/>
      <w:jc w:val="center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auto"/>
      <w:spacing w:after="180"/>
      <w:ind w:firstLine="580"/>
      <w:outlineLvl w:val="0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  <w:ind w:firstLine="400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8">
    <w:name w:val="Подпись к таблице"/>
    <w:basedOn w:val="Normal"/>
    <w:link w:val="CharStyle19"/>
    <w:pPr>
      <w:widowControl w:val="0"/>
      <w:shd w:val="clear" w:color="auto" w:fill="auto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Надежда</dc:creator>
  <cp:keywords/>
</cp:coreProperties>
</file>