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AFA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AFAFB" stroked="f"/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280" w:after="240" w:line="240" w:lineRule="auto"/>
        <w:ind w:left="0" w:right="0" w:firstLine="0"/>
        <w:jc w:val="center"/>
      </w:pPr>
      <w:r>
        <w:rPr>
          <w:rStyle w:val="CharStyle6"/>
        </w:rPr>
        <w:t>ОБЩЕСТВЕННЫЙ СОВЕТ ГОРОДА НИЖНЕВАРТОВСКА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6"/>
          <w:b/>
          <w:bCs/>
        </w:rPr>
        <w:t>ПРОТОКОЛ №6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center"/>
      </w:pPr>
      <w:r>
        <w:rPr>
          <w:rStyle w:val="CharStyle3"/>
          <w:color w:val="000000"/>
        </w:rPr>
        <w:t>Общественный совет города Нижневартовска</w:t>
        <w:br/>
        <w:t>по вопросам жилищно-коммунального хозяйства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23" w:val="left"/>
        </w:tabs>
        <w:bidi w:val="0"/>
        <w:spacing w:before="0" w:after="320"/>
        <w:ind w:left="0" w:right="0" w:firstLine="0"/>
        <w:jc w:val="left"/>
      </w:pPr>
      <w:r>
        <w:rPr>
          <w:rStyle w:val="CharStyle3"/>
        </w:rPr>
        <w:t>от 15 апреля 2024 года</w:t>
        <w:tab/>
        <w:t>город Нижневартовск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62" w:lineRule="auto"/>
        <w:ind w:left="0" w:right="0" w:firstLine="0"/>
        <w:jc w:val="left"/>
      </w:pPr>
      <w:r>
        <w:rPr>
          <w:rStyle w:val="CharStyle3"/>
        </w:rPr>
        <w:t>В целях ознакомления и принятия к сведению членам Общественного совета города Нижневартовска по вопросам жилищно-коммунального хозяйства по электронной почте направлена следующая информация.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rStyle w:val="CharStyle3"/>
        </w:rPr>
        <w:t>Повестка дня: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20" w:line="257" w:lineRule="auto"/>
        <w:ind w:left="0" w:right="0" w:firstLine="580"/>
        <w:jc w:val="left"/>
      </w:pPr>
      <w:bookmarkStart w:id="0" w:name="bookmark0"/>
      <w:r>
        <w:rPr>
          <w:rStyle w:val="CharStyle9"/>
          <w:b/>
          <w:bCs/>
        </w:rPr>
        <w:t>1. О доступности присоединения к инженерным сетям.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580" w:right="0" w:firstLine="0"/>
        <w:jc w:val="both"/>
      </w:pPr>
      <w:r>
        <w:rPr>
          <w:rStyle w:val="CharStyle3"/>
        </w:rPr>
        <w:t xml:space="preserve">По данному вопросу информация представлена: </w:t>
      </w:r>
      <w:r>
        <w:rPr>
          <w:rStyle w:val="CharStyle3"/>
          <w:i/>
          <w:iCs/>
        </w:rPr>
        <w:t>отделом инженерного обеспечения и ресусрсосбережния департамента жилищно</w:t>
        <w:softHyphen/>
        <w:t>коммунального хозяйства администрации города.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80" w:right="0" w:firstLine="0"/>
        <w:jc w:val="both"/>
      </w:pPr>
      <w:r>
        <w:rPr>
          <w:rStyle w:val="CharStyle3"/>
        </w:rPr>
        <w:t>Согласно перечня поручений по итогам совместного заседания президиума Госсовета и консультативной комиссии Госсовета, утвержденного Президентом Российской Федерации от 05.12.2016 №Пр-2347ГС, рекомендовано органам исполнительной власти совместно со специализированными организациями обеспечить достижение показателей, установленных в целевых моделях.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80" w:right="0" w:firstLine="0"/>
        <w:jc w:val="both"/>
      </w:pPr>
      <w:r>
        <w:rPr>
          <w:rStyle w:val="CharStyle3"/>
        </w:rPr>
        <w:t>По компетенции департамента жилищно-коммунального хозяйства администрации города необходимо обеспечить ежеквартальный отчет об исполнении целевых моделей: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8" w:val="left"/>
        </w:tabs>
        <w:bidi w:val="0"/>
        <w:spacing w:before="0" w:after="0"/>
        <w:ind w:left="580" w:right="0" w:firstLine="0"/>
        <w:jc w:val="both"/>
      </w:pPr>
      <w:r>
        <w:rPr>
          <w:rStyle w:val="CharStyle3"/>
        </w:rPr>
        <w:t>Подключение (технологическое присоединение) к электрическим сетям.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8" w:val="left"/>
        </w:tabs>
        <w:bidi w:val="0"/>
        <w:spacing w:before="0" w:after="0"/>
        <w:ind w:left="0" w:right="0" w:firstLine="580"/>
        <w:jc w:val="left"/>
      </w:pPr>
      <w:r>
        <w:rPr>
          <w:rStyle w:val="CharStyle3"/>
        </w:rPr>
        <w:t>Подключение (технологическое присоединение) к газовым сетям.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8" w:val="left"/>
        </w:tabs>
        <w:bidi w:val="0"/>
        <w:spacing w:before="0" w:after="0"/>
        <w:ind w:left="580" w:right="0" w:firstLine="0"/>
        <w:jc w:val="both"/>
      </w:pPr>
      <w:r>
        <w:rPr>
          <w:rStyle w:val="CharStyle3"/>
        </w:rPr>
        <w:t>Подключение (технологическое присоединение) к сетям теплоснабжения, водоснабжения и водоотведения (ТС, ГВС - 15 процедур, 28 рабочих дней, ВиВ - 10 процедур, 4 рабочих дня).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580" w:right="0" w:firstLine="0"/>
        <w:jc w:val="both"/>
      </w:pPr>
      <w:r>
        <w:rPr>
          <w:rStyle w:val="CharStyle3"/>
        </w:rPr>
        <w:t>Проделанная работа в части информирования потребителей о доступности технологического присоединения к инженерным сетям, а также об удобстве взаимодействия с ресурсоснабжающими организациями (далее -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BFA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BFAFB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0" w:right="0"/>
        <w:jc w:val="both"/>
      </w:pPr>
      <w:r>
        <w:rPr>
          <w:rStyle w:val="CharStyle3"/>
        </w:rPr>
        <w:t>РСО) в электронном виде при прохождении процедуры технологического присоединения: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8" w:val="left"/>
        </w:tabs>
        <w:bidi w:val="0"/>
        <w:spacing w:before="0" w:after="0"/>
        <w:ind w:left="540" w:right="0"/>
        <w:jc w:val="both"/>
      </w:pPr>
      <w:r>
        <w:rPr>
          <w:rStyle w:val="CharStyle3"/>
        </w:rPr>
        <w:t>размещение информации в информационно-телекоммуникационной сети Интернет на официальном сайте органов местного самоуправления, многофункционального центра (далее - МФЦ), городской газеты "Варта";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8" w:val="left"/>
        </w:tabs>
        <w:bidi w:val="0"/>
        <w:spacing w:before="0" w:after="0"/>
        <w:ind w:left="540" w:right="0"/>
        <w:jc w:val="both"/>
      </w:pPr>
      <w:r>
        <w:rPr>
          <w:rStyle w:val="CharStyle3"/>
        </w:rPr>
        <w:t>размещение на главных страницах РСО баннеров о возможности подачи заявки на ТП в электронном виде;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8" w:val="left"/>
        </w:tabs>
        <w:bidi w:val="0"/>
        <w:spacing w:before="0" w:after="0"/>
        <w:ind w:left="540" w:right="0"/>
        <w:jc w:val="both"/>
      </w:pPr>
      <w:r>
        <w:rPr>
          <w:rStyle w:val="CharStyle3"/>
        </w:rPr>
        <w:t>издание и распространение буклетов, брошюр в клиентских офисах обслуживания РСО и МФЦ;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8" w:val="left"/>
        </w:tabs>
        <w:bidi w:val="0"/>
        <w:spacing w:before="0" w:after="0"/>
        <w:ind w:left="540" w:right="0"/>
        <w:jc w:val="both"/>
      </w:pPr>
      <w:r>
        <w:rPr>
          <w:rStyle w:val="CharStyle3"/>
        </w:rPr>
        <w:t>размещение на сайтах РСО обучающих видеоматериалов по прохождению процедуры технологического присоединения.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40" w:right="0"/>
        <w:jc w:val="both"/>
      </w:pPr>
      <w:r>
        <w:rPr>
          <w:rStyle w:val="CharStyle3"/>
        </w:rPr>
        <w:t>В настоящее время на порталах ГИС ЖКХ и Госуслуги запущен новый функционал по технологическому присоединению объектов недвижимости к сетям инженерно-технического обеспечения (холодного и горячего водоснабжения, водоотведения и теплоснабжения).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40" w:right="0"/>
        <w:jc w:val="both"/>
      </w:pPr>
      <w:r>
        <w:rPr>
          <w:rStyle w:val="CharStyle3"/>
        </w:rPr>
        <w:t>Приказом Департаментом строительства и жилищно-коммунального комплекса Ханты-Мансийского автономного округа - Югры и Департаментом информационных технологий и цифрового развития Ханты-Мансийского автономного округа - Югры от 02.05.2023 №42-Пр-336-П/08-Пр-61, автоматизированная информационная система подключения (технологического присоединения) к сетям инженерно</w:t>
        <w:softHyphen/>
        <w:t xml:space="preserve">технического обеспечения в Ханты-Мансийском автономном округе </w:t>
      </w:r>
      <w:r>
        <w:rPr>
          <w:rStyle w:val="CharStyle3"/>
          <w:color w:val="37363B"/>
        </w:rPr>
        <w:t xml:space="preserve">- </w:t>
      </w:r>
      <w:r>
        <w:rPr>
          <w:rStyle w:val="CharStyle3"/>
        </w:rPr>
        <w:t>Югре с 1 июня 2023 года выводится из эксплуатации.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/>
        <w:ind w:left="540" w:right="0"/>
        <w:jc w:val="both"/>
      </w:pPr>
      <w:r>
        <w:rPr>
          <w:rStyle w:val="CharStyle3"/>
        </w:rPr>
        <w:t>Данные информационные ресурсы позволят оставить заявку на технологическое присоединение по всем инженерным сетям в одном месте.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40"/>
        <w:ind w:left="540" w:right="0" w:firstLine="20"/>
        <w:jc w:val="both"/>
      </w:pPr>
      <w:bookmarkStart w:id="2" w:name="bookmark2"/>
      <w:r>
        <w:rPr>
          <w:rStyle w:val="CharStyle9"/>
          <w:b/>
          <w:bCs/>
        </w:rPr>
        <w:t>2. Инвестиционная программа АО "Горэлектросеть": планы и задачи на 2024 год.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540"/>
        <w:jc w:val="left"/>
      </w:pPr>
      <w:r>
        <w:rPr>
          <w:rStyle w:val="CharStyle3"/>
        </w:rPr>
        <w:t xml:space="preserve">По данному вопросу информация представлена: </w:t>
      </w:r>
      <w:r>
        <w:rPr>
          <w:rStyle w:val="CharStyle3"/>
          <w:i/>
          <w:iCs/>
        </w:rPr>
        <w:t>АО "Гэрэлектросетъ".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540" w:right="0"/>
        <w:jc w:val="both"/>
      </w:pPr>
      <w:r>
        <w:rPr>
          <w:rStyle w:val="CharStyle3"/>
        </w:rPr>
        <w:t>Согласно информации по реализации инвестиционной программы АО "Горэлектросеть" на 2024 год, утвержденной приказом №33-Пр-48 от 17.06.2022 Департамента жилищно-коммунального комплекса и энергетики Ханты-Мансийского автономного округа - Югры, соответствуют целям и задачам стратегии развития электросетевого комплекса города Нижневартовска, предусматривает решение вопросов муниципальных и окружных программ в части создания условий для комплексного освоения территорий в целях жилищного строительства путем обеспечения технической возможности подключения</w:t>
        <w:br w:type="page"/>
      </w:r>
      <w:r>
        <w:rPr>
          <w:rStyle w:val="CharStyle3"/>
          <w:color w:val="000000"/>
        </w:rPr>
        <w:t>к электрическим сетям вновь строящихся объектов жилья и соцкультбыта, а так же повышения надежности и энергетической эффективности существующих электросетевых объектов, путем замены существующего, физически изношенного оборудования.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60" w:right="0"/>
        <w:jc w:val="both"/>
      </w:pPr>
      <w:r>
        <w:rPr>
          <w:rStyle w:val="CharStyle3"/>
          <w:color w:val="000000"/>
        </w:rPr>
        <w:t>С целью обеспечения электроснабжения, строящегося ’’Центра боевых искусств" проектом корректировки инвестиционной программы АО Торэлектросеть" к реализации в 2024 году запланирован проект: "Строительство ТП-10/0,4кВ, сетей 10кВ. Для электроснабжения "Центра боевых искусств" со стоимостью 25,07 млн. руб. без НДС.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60" w:right="0"/>
        <w:jc w:val="both"/>
      </w:pPr>
      <w:r>
        <w:rPr>
          <w:rStyle w:val="CharStyle3"/>
          <w:color w:val="000000"/>
        </w:rPr>
        <w:t>Запланировано строительство сетей электроснабжения для 21, 22, 40-х кварталов, 10В микрорайона протяженностью 3,41 км со стоимостью 33,65 млн. руб. без НДС.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60" w:right="0"/>
        <w:jc w:val="both"/>
      </w:pPr>
      <w:r>
        <w:rPr>
          <w:rStyle w:val="CharStyle3"/>
          <w:color w:val="000000"/>
        </w:rPr>
        <w:t>В целях оказания содействия в строительстве сетей электроснабжения садово-огороднических товариществ инвестиционной программы в 2024 году предусмотрено строительство сетей электроснабжения в СОНТ "Дорожник", "Энергетик", "Сибиряк-1", "Гидромеханизатор”, "Авиатор- 3" (завершающий этап), при этом стоимость выполненных работ составит 82,72 млн. руб. без НДС.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60" w:right="0"/>
        <w:jc w:val="both"/>
      </w:pPr>
      <w:r>
        <w:rPr>
          <w:rStyle w:val="CharStyle3"/>
          <w:color w:val="000000"/>
        </w:rPr>
        <w:t>В 2024 году в рамках реализации инвестиционной программы планируется выполнить работы по выносу сетей электроснабжения из зоны реконструкции ул. Мира (1 этап). Общая стоимость работ составит: 21,07 млн. руб. без НДС.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/>
        <w:ind w:left="560" w:right="0"/>
        <w:jc w:val="both"/>
      </w:pPr>
      <w:r>
        <w:rPr>
          <w:rStyle w:val="CharStyle3"/>
          <w:color w:val="000000"/>
        </w:rPr>
        <w:t>Инвестиционная программа АО "Горэлектросеть" на 2024 год сформирован на основании предложений администрации города Нижневартовска и Застройщиков и соответствуют "Программе комплексного развития систем коммунальной инфраструктуры муниципального образования город Нижневартовска до 2035 года".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20" w:line="262" w:lineRule="auto"/>
        <w:ind w:left="0" w:right="0" w:firstLine="560"/>
        <w:jc w:val="both"/>
      </w:pPr>
      <w:bookmarkStart w:id="4" w:name="bookmark4"/>
      <w:r>
        <w:rPr>
          <w:rStyle w:val="CharStyle9"/>
          <w:b/>
          <w:bCs/>
          <w:color w:val="000000"/>
        </w:rPr>
        <w:t>Решили: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62" w:lineRule="auto"/>
        <w:ind w:left="560" w:right="0"/>
        <w:jc w:val="both"/>
      </w:pPr>
      <w:r>
        <w:drawing>
          <wp:anchor distT="0" distB="0" distL="114300" distR="2059940" simplePos="0" relativeHeight="125829378" behindDoc="0" locked="0" layoutInCell="1" allowOverlap="1">
            <wp:simplePos x="0" y="0"/>
            <wp:positionH relativeFrom="page">
              <wp:posOffset>3693795</wp:posOffset>
            </wp:positionH>
            <wp:positionV relativeFrom="paragraph">
              <wp:posOffset>812800</wp:posOffset>
            </wp:positionV>
            <wp:extent cx="1481455" cy="165798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1455" cy="16579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42570" distB="1195070" distL="2317750" distR="160655" simplePos="0" relativeHeight="125829379" behindDoc="0" locked="0" layoutInCell="1" allowOverlap="1">
                <wp:simplePos x="0" y="0"/>
                <wp:positionH relativeFrom="page">
                  <wp:posOffset>5897245</wp:posOffset>
                </wp:positionH>
                <wp:positionV relativeFrom="paragraph">
                  <wp:posOffset>1055370</wp:posOffset>
                </wp:positionV>
                <wp:extent cx="1174750" cy="21971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475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color w:val="000000"/>
                              </w:rPr>
                              <w:t>Н.А. Волохина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64.35000000000002pt;margin-top:83.100000000000009pt;width:92.5pt;height:17.300000000000001pt;z-index:-125829374;mso-wrap-distance-left:182.5pt;mso-wrap-distance-top:19.100000000000001pt;mso-wrap-distance-right:12.65pt;mso-wrap-distance-bottom:94.1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color w:val="000000"/>
                        </w:rPr>
                        <w:t>Н.А. Волохина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049020" distB="388620" distL="2327275" distR="114300" simplePos="0" relativeHeight="125829381" behindDoc="0" locked="0" layoutInCell="1" allowOverlap="1">
                <wp:simplePos x="0" y="0"/>
                <wp:positionH relativeFrom="page">
                  <wp:posOffset>5906770</wp:posOffset>
                </wp:positionH>
                <wp:positionV relativeFrom="paragraph">
                  <wp:posOffset>1861820</wp:posOffset>
                </wp:positionV>
                <wp:extent cx="1211580" cy="21971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158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color w:val="000000"/>
                              </w:rPr>
                              <w:t>Ф.Ю. Тестешев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5.10000000000002pt;margin-top:146.59999999999999pt;width:95.400000000000006pt;height:17.300000000000001pt;z-index:-125829372;mso-wrap-distance-left:183.25pt;mso-wrap-distance-top:82.600000000000009pt;mso-wrap-distance-right:9.pt;mso-wrap-distance-bottom:30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color w:val="000000"/>
                        </w:rPr>
                        <w:t>Ф.Ю. Тестешев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  <w:color w:val="000000"/>
        </w:rPr>
        <w:t>Общественному совету города Нижневартовска по вопросам жилищно</w:t>
        <w:softHyphen/>
        <w:t>коммунального хозяйства информацию принять к сведению.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000000"/>
        </w:rPr>
        <w:t>Председатель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left"/>
      </w:pPr>
      <w:r>
        <w:rPr>
          <w:rStyle w:val="CharStyle3"/>
          <w:color w:val="000000"/>
        </w:rPr>
        <w:t>Общественного совета: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BFB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BFBFD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000000"/>
        </w:rPr>
        <w:t>Секретарь:</w:t>
      </w:r>
    </w:p>
    <w:sectPr>
      <w:footnotePr>
        <w:pos w:val="pageBottom"/>
        <w:numFmt w:val="decimal"/>
        <w:numRestart w:val="continuous"/>
      </w:footnotePr>
      <w:pgSz w:w="11900" w:h="16840"/>
      <w:pgMar w:top="1127" w:right="643" w:bottom="1352" w:left="1465" w:header="699" w:footer="92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31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63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1313"/>
      <w:sz w:val="28"/>
      <w:szCs w:val="28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Заголовок №1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1313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7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1313"/>
      <w:sz w:val="28"/>
      <w:szCs w:val="28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before="140" w:after="2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auto"/>
      <w:spacing w:after="330" w:line="254" w:lineRule="auto"/>
      <w:ind w:left="270" w:firstLine="29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1313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