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jc w:val="center"/>
        <w:outlineLvl w:val="0"/>
      </w:pPr>
      <w:r>
        <w:rPr>
          <w:sz w:val="24"/>
        </w:rPr>
        <w:t xml:space="preserve">Срок предоставления Услуги</w:t>
      </w:r>
      <w:r/>
    </w:p>
    <w:p>
      <w:pPr>
        <w:pStyle w:val="616"/>
        <w:jc w:val="center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9. Максимальный срок предоставления Услуги, исчисляемый с даты регистрации запроса о предоставлении Услуги (далее - заявление) и документов, необходимых для предоставления Услуги, составляет: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а) 15 рабочих дней независимо от категории (признаков) заявителя - при обращении заявителя посредством Единого портала;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б) 15 рабочих дней независимо от категории (признаков) заявителя - при обращении заявителя посредством электронной почты;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в) 15 рабочих дней независимо от категории (признаков) заявителя - при обращении заявителя посредством почтовой связи;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г) 15 рабочих дней независимо от категории (признаков) заявителя - при обращении заявителя в МФЦ &lt;2&gt;.</w:t>
      </w:r>
      <w:r/>
    </w:p>
    <w:p>
      <w:pPr>
        <w:pStyle w:val="616"/>
      </w:pPr>
      <w:r>
        <w:rPr>
          <w:i/>
          <w:sz w:val="24"/>
        </w:rPr>
        <w:br/>
      </w:r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617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618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619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620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621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22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623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62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658" w:default="1">
    <w:name w:val="Default Paragraph Font"/>
    <w:uiPriority w:val="1"/>
    <w:semiHidden/>
    <w:unhideWhenUsed/>
  </w:style>
  <w:style w:type="numbering" w:styleId="659" w:default="1">
    <w:name w:val="No List"/>
    <w:uiPriority w:val="99"/>
    <w:semiHidden/>
    <w:unhideWhenUsed/>
  </w:style>
  <w:style w:type="table" w:styleId="6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труда и занятости населения ХМАО - Югры от 12.11.2025 N 33-нп
"Об утверждении Административного регламента предоставления государственной услуги "Уведомительная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</dc:title>
  <cp:revision>1</cp:revision>
  <dcterms:created xsi:type="dcterms:W3CDTF">2025-12-24T11:31:29Z</dcterms:created>
  <dcterms:modified xsi:type="dcterms:W3CDTF">2025-12-24T11:32:50Z</dcterms:modified>
</cp:coreProperties>
</file>