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02" w:rsidRDefault="00F44202" w:rsidP="00F44202">
      <w:pPr>
        <w:pStyle w:val="ConsPlusNormal"/>
        <w:ind w:left="6379"/>
        <w:jc w:val="right"/>
        <w:rPr>
          <w:rFonts w:ascii="Times New Roman" w:hAnsi="Times New Roman" w:cs="Times New Roman"/>
          <w:sz w:val="28"/>
          <w:szCs w:val="28"/>
        </w:rPr>
      </w:pPr>
      <w:r w:rsidRPr="006E7AAB">
        <w:rPr>
          <w:rFonts w:ascii="Times New Roman" w:hAnsi="Times New Roman" w:cs="Times New Roman"/>
          <w:sz w:val="28"/>
          <w:szCs w:val="28"/>
        </w:rPr>
        <w:t>Приложение</w:t>
      </w:r>
      <w:r>
        <w:rPr>
          <w:rFonts w:ascii="Times New Roman" w:hAnsi="Times New Roman" w:cs="Times New Roman"/>
          <w:sz w:val="28"/>
          <w:szCs w:val="28"/>
        </w:rPr>
        <w:t xml:space="preserve"> </w:t>
      </w:r>
      <w:r w:rsidR="006739CA">
        <w:rPr>
          <w:rFonts w:ascii="Times New Roman" w:hAnsi="Times New Roman" w:cs="Times New Roman"/>
          <w:sz w:val="28"/>
          <w:szCs w:val="28"/>
        </w:rPr>
        <w:t>5</w:t>
      </w:r>
      <w:r w:rsidRPr="006E7AAB">
        <w:rPr>
          <w:rFonts w:ascii="Times New Roman" w:hAnsi="Times New Roman" w:cs="Times New Roman"/>
          <w:sz w:val="28"/>
          <w:szCs w:val="28"/>
        </w:rPr>
        <w:t xml:space="preserve"> </w:t>
      </w:r>
    </w:p>
    <w:p w:rsidR="00F44202" w:rsidRDefault="00F44202" w:rsidP="006739CA">
      <w:pPr>
        <w:pStyle w:val="ConsPlusNormal"/>
        <w:ind w:left="4820"/>
        <w:jc w:val="right"/>
        <w:rPr>
          <w:rFonts w:ascii="Times New Roman" w:hAnsi="Times New Roman" w:cs="Times New Roman"/>
          <w:bCs/>
          <w:sz w:val="28"/>
          <w:szCs w:val="28"/>
        </w:rPr>
      </w:pPr>
      <w:r>
        <w:rPr>
          <w:rFonts w:ascii="Times New Roman" w:hAnsi="Times New Roman" w:cs="Times New Roman"/>
          <w:sz w:val="28"/>
          <w:szCs w:val="28"/>
        </w:rPr>
        <w:t>к Правилам</w:t>
      </w:r>
      <w:r w:rsidR="006739CA">
        <w:rPr>
          <w:rFonts w:ascii="Times New Roman" w:hAnsi="Times New Roman" w:cs="Times New Roman"/>
          <w:sz w:val="28"/>
          <w:szCs w:val="28"/>
        </w:rPr>
        <w:t xml:space="preserve"> </w:t>
      </w:r>
      <w:r>
        <w:rPr>
          <w:rFonts w:ascii="Times New Roman" w:hAnsi="Times New Roman" w:cs="Times New Roman"/>
          <w:sz w:val="28"/>
          <w:szCs w:val="28"/>
        </w:rPr>
        <w:t xml:space="preserve">благоустройства территории </w:t>
      </w:r>
      <w:r w:rsidRPr="006E7AAB">
        <w:rPr>
          <w:rFonts w:ascii="Times New Roman" w:hAnsi="Times New Roman" w:cs="Times New Roman"/>
          <w:bCs/>
          <w:sz w:val="28"/>
          <w:szCs w:val="28"/>
        </w:rPr>
        <w:t xml:space="preserve">города Нижневартовска </w:t>
      </w:r>
    </w:p>
    <w:p w:rsidR="00F44202" w:rsidRDefault="00F44202" w:rsidP="00F44202">
      <w:pPr>
        <w:jc w:val="right"/>
        <w:rPr>
          <w:rFonts w:ascii="Times New Roman" w:hAnsi="Times New Roman" w:cs="Times New Roman"/>
          <w:sz w:val="28"/>
          <w:szCs w:val="28"/>
        </w:rPr>
      </w:pPr>
      <w:r>
        <w:rPr>
          <w:rFonts w:ascii="Times New Roman" w:hAnsi="Times New Roman" w:cs="Times New Roman"/>
          <w:sz w:val="28"/>
          <w:szCs w:val="28"/>
        </w:rPr>
        <w:t xml:space="preserve"> </w:t>
      </w:r>
    </w:p>
    <w:p w:rsidR="00F44202" w:rsidRDefault="00BA498E" w:rsidP="00701848">
      <w:pPr>
        <w:jc w:val="center"/>
        <w:rPr>
          <w:rFonts w:ascii="Times New Roman" w:hAnsi="Times New Roman" w:cs="Times New Roman"/>
          <w:sz w:val="28"/>
          <w:szCs w:val="28"/>
        </w:rPr>
      </w:pPr>
      <w:r w:rsidRPr="006739CA">
        <w:rPr>
          <w:rFonts w:ascii="Times New Roman" w:hAnsi="Times New Roman" w:cs="Times New Roman"/>
          <w:sz w:val="28"/>
          <w:szCs w:val="28"/>
        </w:rPr>
        <w:t>РЕКОМЕНДАЦИИ К ВНЕШНЕМУ ВИДУ НЕСТАЦИОНАРНЫХ ТОРГОВЫХ ОБЪЕКТОВ</w:t>
      </w:r>
      <w:r w:rsidRPr="006739CA">
        <w:rPr>
          <w:rFonts w:ascii="Times New Roman" w:hAnsi="Times New Roman" w:cs="Times New Roman"/>
          <w:sz w:val="28"/>
          <w:szCs w:val="28"/>
        </w:rPr>
        <w:br/>
      </w:r>
    </w:p>
    <w:p w:rsidR="006739CA" w:rsidRPr="006739CA" w:rsidRDefault="006739CA" w:rsidP="006739CA">
      <w:pPr>
        <w:spacing w:after="0" w:line="240" w:lineRule="auto"/>
        <w:ind w:firstLine="708"/>
        <w:jc w:val="both"/>
        <w:rPr>
          <w:rFonts w:ascii="Times New Roman" w:hAnsi="Times New Roman" w:cs="Times New Roman"/>
          <w:sz w:val="28"/>
          <w:szCs w:val="28"/>
        </w:rPr>
      </w:pPr>
      <w:r w:rsidRPr="006739CA">
        <w:rPr>
          <w:rFonts w:ascii="Times New Roman" w:hAnsi="Times New Roman" w:cs="Times New Roman"/>
          <w:sz w:val="28"/>
          <w:szCs w:val="28"/>
        </w:rPr>
        <w:t xml:space="preserve">Рекомендации к внешнему виду нестационарных торговых объектов на территории города Нижневартовска </w:t>
      </w:r>
      <w:r w:rsidRPr="00D90A87">
        <w:rPr>
          <w:rFonts w:ascii="Times New Roman" w:hAnsi="Times New Roman" w:cs="Times New Roman"/>
          <w:sz w:val="28"/>
          <w:szCs w:val="28"/>
        </w:rPr>
        <w:t xml:space="preserve">(далее - Рекомендации) </w:t>
      </w:r>
      <w:r w:rsidRPr="006739CA">
        <w:rPr>
          <w:rFonts w:ascii="Times New Roman" w:hAnsi="Times New Roman" w:cs="Times New Roman"/>
          <w:sz w:val="28"/>
          <w:szCs w:val="28"/>
        </w:rPr>
        <w:t>разработаны исходя из удобства и функциональности осуществления торговой деятельности, формирования целостного архитектурного облика городской среды, повышения комфортности, минимизации расходов хозяйствующего субъекта и простоты оформления.</w:t>
      </w:r>
    </w:p>
    <w:p w:rsidR="00801FC5" w:rsidRDefault="006739CA" w:rsidP="006739CA">
      <w:pPr>
        <w:spacing w:after="0" w:line="240" w:lineRule="auto"/>
        <w:ind w:firstLine="708"/>
        <w:jc w:val="both"/>
        <w:rPr>
          <w:rFonts w:ascii="Times New Roman" w:hAnsi="Times New Roman" w:cs="Times New Roman"/>
          <w:sz w:val="28"/>
          <w:szCs w:val="28"/>
        </w:rPr>
      </w:pPr>
      <w:r w:rsidRPr="006739CA">
        <w:rPr>
          <w:rFonts w:ascii="Times New Roman" w:hAnsi="Times New Roman" w:cs="Times New Roman"/>
          <w:sz w:val="28"/>
          <w:szCs w:val="28"/>
        </w:rPr>
        <w:t xml:space="preserve">Архитектурный паспорт </w:t>
      </w:r>
      <w:proofErr w:type="gramStart"/>
      <w:r w:rsidRPr="006739CA">
        <w:rPr>
          <w:rFonts w:ascii="Times New Roman" w:hAnsi="Times New Roman" w:cs="Times New Roman"/>
          <w:sz w:val="28"/>
          <w:szCs w:val="28"/>
        </w:rPr>
        <w:t>объекта</w:t>
      </w:r>
      <w:proofErr w:type="gramEnd"/>
      <w:r w:rsidRPr="006739CA">
        <w:rPr>
          <w:rFonts w:ascii="Times New Roman" w:hAnsi="Times New Roman" w:cs="Times New Roman"/>
          <w:sz w:val="28"/>
          <w:szCs w:val="28"/>
        </w:rPr>
        <w:t xml:space="preserve"> вновь размещаемого НТО на территории города Нижневартовска подлежит согласованию с управлением архитектуры и градостроительства департамента строительства администрации </w:t>
      </w:r>
      <w:r w:rsidRPr="00131F53">
        <w:rPr>
          <w:rFonts w:ascii="Times New Roman" w:hAnsi="Times New Roman" w:cs="Times New Roman"/>
          <w:sz w:val="28"/>
          <w:szCs w:val="28"/>
        </w:rPr>
        <w:t>города</w:t>
      </w:r>
      <w:r w:rsidR="00100D01" w:rsidRPr="00131F53">
        <w:rPr>
          <w:rFonts w:ascii="Times New Roman" w:hAnsi="Times New Roman" w:cs="Times New Roman"/>
          <w:sz w:val="28"/>
          <w:szCs w:val="28"/>
        </w:rPr>
        <w:t xml:space="preserve"> в соответствии с пунктом 5.8.5 правил благоустройства</w:t>
      </w:r>
      <w:r w:rsidRPr="00131F53">
        <w:rPr>
          <w:rFonts w:ascii="Times New Roman" w:hAnsi="Times New Roman" w:cs="Times New Roman"/>
          <w:sz w:val="28"/>
          <w:szCs w:val="28"/>
        </w:rPr>
        <w:t>.</w:t>
      </w:r>
    </w:p>
    <w:p w:rsidR="00801FC5" w:rsidRDefault="00801FC5" w:rsidP="00801FC5">
      <w:pPr>
        <w:spacing w:after="0" w:line="240" w:lineRule="auto"/>
        <w:ind w:firstLine="708"/>
        <w:jc w:val="both"/>
        <w:rPr>
          <w:rFonts w:ascii="Times New Roman" w:hAnsi="Times New Roman" w:cs="Times New Roman"/>
          <w:sz w:val="28"/>
          <w:szCs w:val="28"/>
        </w:rPr>
      </w:pPr>
      <w:r w:rsidRPr="00801FC5">
        <w:rPr>
          <w:rFonts w:ascii="Times New Roman" w:hAnsi="Times New Roman" w:cs="Times New Roman"/>
          <w:sz w:val="28"/>
          <w:szCs w:val="28"/>
        </w:rPr>
        <w:t>К НТО относят павильоны, киоски, палатки, торговые автоматы и иные временные торговые объекты. К нестационарным передвижным торговым объектам относят лотки, автомагазины, автофургоны, автолавки, автоцистерны, тележки и другие аналогичные объекты.</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Нестационарный торговый объект (НТО):</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а) торговый объект, предназначенный и используемый для:</w:t>
      </w:r>
    </w:p>
    <w:p w:rsidR="006739CA" w:rsidRPr="00131F53" w:rsidRDefault="006739CA" w:rsidP="00801FC5">
      <w:pPr>
        <w:spacing w:after="0" w:line="240" w:lineRule="auto"/>
        <w:jc w:val="both"/>
        <w:rPr>
          <w:rFonts w:ascii="Times New Roman" w:hAnsi="Times New Roman" w:cs="Times New Roman"/>
          <w:sz w:val="28"/>
          <w:szCs w:val="28"/>
        </w:rPr>
      </w:pPr>
      <w:r w:rsidRPr="00131F53">
        <w:rPr>
          <w:rFonts w:ascii="Times New Roman" w:hAnsi="Times New Roman" w:cs="Times New Roman"/>
          <w:sz w:val="28"/>
          <w:szCs w:val="28"/>
        </w:rPr>
        <w:t>выкладки, демонстрации, товаров, обслуживания покупателей, проведения денежных расчетов с покупателями при продаже товаров;</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б) относится к элементам благоустройства (не является капитальным объектом);</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в) не имеет прочной связи с землей вне зависимости от наличия или отсутствия подключения (технологического присоединения) к сетям инженерно-технического обеспечения;</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г) имеет конструктивные характеристики, позволяющие без несоразмерного ущерба назначению, без изменения основных характеристик, осуществить (неоднократно) его: перемещение, демонтаж, сборку.</w:t>
      </w:r>
    </w:p>
    <w:p w:rsidR="006739CA" w:rsidRPr="00131F53" w:rsidRDefault="006739CA" w:rsidP="006739CA">
      <w:pPr>
        <w:spacing w:after="0" w:line="240" w:lineRule="auto"/>
        <w:ind w:firstLine="708"/>
        <w:jc w:val="both"/>
        <w:rPr>
          <w:rFonts w:ascii="Times New Roman" w:hAnsi="Times New Roman" w:cs="Times New Roman"/>
          <w:sz w:val="28"/>
          <w:szCs w:val="28"/>
        </w:rPr>
      </w:pP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 xml:space="preserve">Изменения основных характеристик НТО, при наличии которых определяется невозможность использования НТО по назначению: </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а) изменение (несоответствие) основных конструктивных параметров собранного НТО: количества, конфигурации, габаритов, местоположения, взаиморасположения ограждающих конструкций и отдельных конструктивных элементов, материалов изготовления, указанных в технической документации и (или) иной документации, определяющей конструктивные параметры НТО;</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lastRenderedPageBreak/>
        <w:t>б) визуально определяемые деформации поверхностей ограждающих конструкций и отдельных конструктивных элементов: смещения по вертикали и горизонтали, перекосы, прогибы, трещины, дыры, смятия, расслоения, коррозия, набухания, плесень, нарушение декоративного слоя, следы горения, расстройства болтовых, заклепочных, иных соединений конструкций, разрушение места размещения;</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 xml:space="preserve">в) ухудшение внешнего вида визуально воспринимаемых поверхностей, элементов, составляющих поверхности НТО и элементов благоустройства, размещаемых совместно с НТО: изменение характеристик </w:t>
      </w:r>
      <w:proofErr w:type="spellStart"/>
      <w:r w:rsidRPr="00131F53">
        <w:rPr>
          <w:rFonts w:ascii="Times New Roman" w:hAnsi="Times New Roman" w:cs="Times New Roman"/>
          <w:sz w:val="28"/>
          <w:szCs w:val="28"/>
        </w:rPr>
        <w:t>цветоносителей</w:t>
      </w:r>
      <w:proofErr w:type="spellEnd"/>
      <w:r w:rsidRPr="00131F53">
        <w:rPr>
          <w:rFonts w:ascii="Times New Roman" w:hAnsi="Times New Roman" w:cs="Times New Roman"/>
          <w:sz w:val="28"/>
          <w:szCs w:val="28"/>
        </w:rPr>
        <w:t xml:space="preserve"> (текстуры, фактуры, цветового оттенка, хроматической яркости, контрастности, прозрачности), указанных в технической документации и (или) иной документации, определяющей конструктивные параметры НТО; визуально воспринимаемые несоответствия фасадов НТО установленным требованиям к внешнему виду НТО; </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г) отсутствие и (или) изменение параметров элементов благоустройства, размещаемых совместно с НТО и (или) необходимых для функционирования НТО.</w:t>
      </w:r>
    </w:p>
    <w:p w:rsidR="006739CA" w:rsidRPr="00131F53"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Примечание: недоступность НТО для покупателей - маломобильных групп населения (МГН), необеспечение равных условий жизнедеятельности для МГН с другими категориями населения, является основанием признать НТО невозможным к использованию по назначению.</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131F53">
        <w:rPr>
          <w:rFonts w:ascii="Times New Roman" w:hAnsi="Times New Roman" w:cs="Times New Roman"/>
          <w:sz w:val="28"/>
          <w:szCs w:val="28"/>
        </w:rPr>
        <w:t xml:space="preserve">Типовые архитектурные решения НТО приводятся безотносительно к </w:t>
      </w:r>
      <w:r w:rsidRPr="00AC3C9D">
        <w:rPr>
          <w:rFonts w:ascii="Times New Roman" w:hAnsi="Times New Roman" w:cs="Times New Roman"/>
          <w:sz w:val="28"/>
          <w:szCs w:val="28"/>
        </w:rPr>
        <w:t>конкретным производителям, маркам и моделям, применяются в целях унификации нестационарных торговых объектов, размещаемых на территории города Нижневартовска.</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Предлагаются следующие типовые архитектурные решения НТО: </w:t>
      </w:r>
    </w:p>
    <w:p w:rsidR="006739CA" w:rsidRPr="00AC3C9D" w:rsidRDefault="00AC3C9D" w:rsidP="00673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sidR="006739CA" w:rsidRPr="00AC3C9D">
        <w:rPr>
          <w:rFonts w:ascii="Times New Roman" w:hAnsi="Times New Roman" w:cs="Times New Roman"/>
          <w:sz w:val="28"/>
          <w:szCs w:val="28"/>
        </w:rPr>
        <w:t>киоски</w:t>
      </w:r>
    </w:p>
    <w:p w:rsidR="006739CA" w:rsidRPr="00AC3C9D" w:rsidRDefault="00AC3C9D" w:rsidP="00673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sidR="006739CA" w:rsidRPr="00AC3C9D">
        <w:rPr>
          <w:rFonts w:ascii="Times New Roman" w:hAnsi="Times New Roman" w:cs="Times New Roman"/>
          <w:sz w:val="28"/>
          <w:szCs w:val="28"/>
        </w:rPr>
        <w:t>павильоны</w:t>
      </w:r>
    </w:p>
    <w:p w:rsidR="006739CA" w:rsidRPr="00AC3C9D" w:rsidRDefault="00AC3C9D" w:rsidP="00673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sidR="006739CA" w:rsidRPr="00AC3C9D">
        <w:rPr>
          <w:rFonts w:ascii="Times New Roman" w:hAnsi="Times New Roman" w:cs="Times New Roman"/>
          <w:sz w:val="28"/>
          <w:szCs w:val="28"/>
        </w:rPr>
        <w:t>временные объекты</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b/>
          <w:sz w:val="28"/>
          <w:szCs w:val="28"/>
        </w:rPr>
        <w:t xml:space="preserve">Киоск: </w:t>
      </w:r>
      <w:r w:rsidRPr="00AC3C9D">
        <w:rPr>
          <w:rFonts w:ascii="Times New Roman" w:hAnsi="Times New Roman" w:cs="Times New Roman"/>
          <w:sz w:val="28"/>
          <w:szCs w:val="28"/>
        </w:rPr>
        <w:t>НТО,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Киоск – оснащенное торговым оборудованием строение: </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а) без торгового зала (без доступа покупателей в строение); </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б) с одним входом для продавца: </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 ширина дверного проема в свету: оптимально - 1,2 м, но </w:t>
      </w:r>
      <w:bookmarkStart w:id="0" w:name="_GoBack"/>
      <w:bookmarkEnd w:id="0"/>
      <w:r w:rsidRPr="00D90A87">
        <w:rPr>
          <w:rFonts w:ascii="Times New Roman" w:hAnsi="Times New Roman" w:cs="Times New Roman"/>
          <w:sz w:val="28"/>
          <w:szCs w:val="28"/>
        </w:rPr>
        <w:t>не менее 0,9 м;</w:t>
      </w:r>
      <w:r w:rsidRPr="00AC3C9D">
        <w:rPr>
          <w:rFonts w:ascii="Times New Roman" w:hAnsi="Times New Roman" w:cs="Times New Roman"/>
          <w:sz w:val="28"/>
          <w:szCs w:val="28"/>
        </w:rPr>
        <w:t xml:space="preserve"> </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 без поднятой входной площадки, лестницы, пандуса (вход непосредственно с твердого покрытия площадки киоска); </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в) с оконным (витринным) проемом для реализации товара; </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г) с одним помещением, рассчитанным на одно рабочее место продавца и хранение товарного запаса;</w:t>
      </w: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д) хранение товарного запаса: выделенная, организованная зона, визуально скрытая от проема для реализации товара (в больших киосках – рекомендуется перегородкой); </w:t>
      </w:r>
    </w:p>
    <w:p w:rsidR="006739CA" w:rsidRPr="006739CA" w:rsidRDefault="006739CA" w:rsidP="006739CA">
      <w:pPr>
        <w:spacing w:after="0" w:line="240" w:lineRule="auto"/>
        <w:ind w:firstLine="708"/>
        <w:jc w:val="both"/>
        <w:rPr>
          <w:rFonts w:ascii="Times New Roman" w:hAnsi="Times New Roman" w:cs="Times New Roman"/>
          <w:color w:val="FF0000"/>
          <w:sz w:val="28"/>
          <w:szCs w:val="28"/>
        </w:rPr>
      </w:pPr>
    </w:p>
    <w:p w:rsidR="006739CA" w:rsidRPr="00AC3C9D" w:rsidRDefault="006739CA" w:rsidP="006739CA">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lastRenderedPageBreak/>
        <w:t>Примечание: личные вещи продавца, тару, контейнеры ТБО и т.п. размещать в зоне видимости покупателей (оконные (витринные) проемы) не допускается.</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е) типы киосков в зависимости от площади помещения: малый – площадь помещения 2,0-9,0 </w:t>
      </w:r>
      <w:proofErr w:type="spellStart"/>
      <w:proofErr w:type="gramStart"/>
      <w:r w:rsidRPr="00AC3C9D">
        <w:rPr>
          <w:rFonts w:ascii="Times New Roman" w:hAnsi="Times New Roman" w:cs="Times New Roman"/>
          <w:sz w:val="28"/>
          <w:szCs w:val="28"/>
        </w:rPr>
        <w:t>кв.м</w:t>
      </w:r>
      <w:proofErr w:type="spellEnd"/>
      <w:proofErr w:type="gramEnd"/>
      <w:r w:rsidRPr="00AC3C9D">
        <w:rPr>
          <w:rFonts w:ascii="Times New Roman" w:hAnsi="Times New Roman" w:cs="Times New Roman"/>
          <w:sz w:val="28"/>
          <w:szCs w:val="28"/>
        </w:rPr>
        <w:t xml:space="preserve">;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большой – площадь помещения 9,0-18,0 </w:t>
      </w:r>
      <w:proofErr w:type="spellStart"/>
      <w:proofErr w:type="gramStart"/>
      <w:r w:rsidRPr="00AC3C9D">
        <w:rPr>
          <w:rFonts w:ascii="Times New Roman" w:hAnsi="Times New Roman" w:cs="Times New Roman"/>
          <w:sz w:val="28"/>
          <w:szCs w:val="28"/>
        </w:rPr>
        <w:t>кв.м</w:t>
      </w:r>
      <w:proofErr w:type="spellEnd"/>
      <w:proofErr w:type="gramEnd"/>
      <w:r w:rsidRPr="00AC3C9D">
        <w:rPr>
          <w:rFonts w:ascii="Times New Roman" w:hAnsi="Times New Roman" w:cs="Times New Roman"/>
          <w:sz w:val="28"/>
          <w:szCs w:val="28"/>
        </w:rPr>
        <w:t>;</w:t>
      </w:r>
    </w:p>
    <w:p w:rsidR="00295734" w:rsidRPr="00AC3C9D" w:rsidRDefault="00295734" w:rsidP="00AC3C9D">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ж) минимальная высота помещения – не менее 2,7 м;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з) инженерно-техническое обеспечение: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 подключение к энергосети (внешнее и внутреннее освещение, отопление, торговое оборудование);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 водоотведение ливневых стоков;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 кондиционирование;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Примечание: водоснабжение привозной водой, отопление электрическое.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и) сезонная (летняя) демонстрация товара на улице не допускается; </w:t>
      </w:r>
    </w:p>
    <w:p w:rsidR="00295734" w:rsidRPr="00AC3C9D" w:rsidRDefault="00295734" w:rsidP="00295734">
      <w:pPr>
        <w:spacing w:after="0" w:line="240" w:lineRule="auto"/>
        <w:ind w:firstLine="708"/>
        <w:jc w:val="both"/>
        <w:rPr>
          <w:rFonts w:ascii="Times New Roman" w:hAnsi="Times New Roman" w:cs="Times New Roman"/>
          <w:sz w:val="28"/>
          <w:szCs w:val="28"/>
        </w:rPr>
      </w:pPr>
      <w:r w:rsidRPr="00AC3C9D">
        <w:rPr>
          <w:rFonts w:ascii="Times New Roman" w:hAnsi="Times New Roman" w:cs="Times New Roman"/>
          <w:sz w:val="28"/>
          <w:szCs w:val="28"/>
        </w:rPr>
        <w:t xml:space="preserve">к) специализированный демонстрационный инвентарь – </w:t>
      </w:r>
      <w:proofErr w:type="spellStart"/>
      <w:r w:rsidRPr="00AC3C9D">
        <w:rPr>
          <w:rFonts w:ascii="Times New Roman" w:hAnsi="Times New Roman" w:cs="Times New Roman"/>
          <w:sz w:val="28"/>
          <w:szCs w:val="28"/>
        </w:rPr>
        <w:t>сборноразборные</w:t>
      </w:r>
      <w:proofErr w:type="spellEnd"/>
      <w:r w:rsidRPr="00AC3C9D">
        <w:rPr>
          <w:rFonts w:ascii="Times New Roman" w:hAnsi="Times New Roman" w:cs="Times New Roman"/>
          <w:sz w:val="28"/>
          <w:szCs w:val="28"/>
        </w:rPr>
        <w:t xml:space="preserve"> </w:t>
      </w:r>
      <w:proofErr w:type="spellStart"/>
      <w:r w:rsidRPr="00AC3C9D">
        <w:rPr>
          <w:rFonts w:ascii="Times New Roman" w:hAnsi="Times New Roman" w:cs="Times New Roman"/>
          <w:sz w:val="28"/>
          <w:szCs w:val="28"/>
        </w:rPr>
        <w:t>пристенные</w:t>
      </w:r>
      <w:proofErr w:type="spellEnd"/>
      <w:r w:rsidRPr="00AC3C9D">
        <w:rPr>
          <w:rFonts w:ascii="Times New Roman" w:hAnsi="Times New Roman" w:cs="Times New Roman"/>
          <w:sz w:val="28"/>
          <w:szCs w:val="28"/>
        </w:rPr>
        <w:t xml:space="preserve"> и приставные металлические конструкции не допускаются.</w:t>
      </w:r>
    </w:p>
    <w:p w:rsidR="00295734" w:rsidRDefault="00295734" w:rsidP="00295734">
      <w:pPr>
        <w:spacing w:after="0" w:line="240" w:lineRule="auto"/>
        <w:ind w:firstLine="708"/>
        <w:jc w:val="both"/>
        <w:rPr>
          <w:rFonts w:ascii="Times New Roman" w:hAnsi="Times New Roman" w:cs="Times New Roman"/>
          <w:color w:val="FF0000"/>
          <w:sz w:val="28"/>
          <w:szCs w:val="28"/>
        </w:rPr>
      </w:pPr>
    </w:p>
    <w:p w:rsidR="00295734" w:rsidRDefault="00295734" w:rsidP="00295734">
      <w:pPr>
        <w:spacing w:after="0" w:line="240" w:lineRule="auto"/>
        <w:ind w:firstLine="708"/>
        <w:jc w:val="both"/>
        <w:rPr>
          <w:rFonts w:ascii="Times New Roman" w:hAnsi="Times New Roman" w:cs="Times New Roman"/>
          <w:sz w:val="28"/>
          <w:szCs w:val="28"/>
        </w:rPr>
      </w:pPr>
      <w:r w:rsidRPr="00295734">
        <w:rPr>
          <w:rFonts w:ascii="Times New Roman" w:hAnsi="Times New Roman" w:cs="Times New Roman"/>
          <w:sz w:val="28"/>
          <w:szCs w:val="28"/>
        </w:rPr>
        <w:t>Типовое архитектурное решение киоска</w:t>
      </w:r>
    </w:p>
    <w:p w:rsidR="00FF5339" w:rsidRDefault="00FF5339" w:rsidP="00295734">
      <w:pPr>
        <w:spacing w:after="0" w:line="240" w:lineRule="auto"/>
        <w:ind w:firstLine="708"/>
        <w:jc w:val="both"/>
        <w:rPr>
          <w:rFonts w:ascii="Times New Roman" w:hAnsi="Times New Roman" w:cs="Times New Roman"/>
          <w:sz w:val="28"/>
          <w:szCs w:val="28"/>
        </w:rPr>
      </w:pPr>
    </w:p>
    <w:p w:rsidR="00295734" w:rsidRDefault="007C2616"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562475"/>
            <wp:effectExtent l="0" t="0" r="9525" b="9525"/>
            <wp:docPr id="4" name="Рисунок 4"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киоски внешн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киоски внешний вид.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4562475"/>
                    </a:xfrm>
                    <a:prstGeom prst="rect">
                      <a:avLst/>
                    </a:prstGeom>
                    <a:noFill/>
                    <a:ln>
                      <a:noFill/>
                    </a:ln>
                  </pic:spPr>
                </pic:pic>
              </a:graphicData>
            </a:graphic>
          </wp:inline>
        </w:drawing>
      </w:r>
    </w:p>
    <w:p w:rsidR="00FF5339" w:rsidRDefault="00FF5339"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9325" cy="5286375"/>
            <wp:effectExtent l="0" t="0" r="9525" b="9525"/>
            <wp:docPr id="1" name="Рисунок 1"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киоски внешний 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киоски внешний вид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9325" cy="5286375"/>
                    </a:xfrm>
                    <a:prstGeom prst="rect">
                      <a:avLst/>
                    </a:prstGeom>
                    <a:noFill/>
                    <a:ln>
                      <a:noFill/>
                    </a:ln>
                  </pic:spPr>
                </pic:pic>
              </a:graphicData>
            </a:graphic>
          </wp:inline>
        </w:drawing>
      </w:r>
    </w:p>
    <w:p w:rsidR="00FF5339" w:rsidRDefault="00FF5339" w:rsidP="007C2616">
      <w:pPr>
        <w:spacing w:after="0" w:line="240" w:lineRule="auto"/>
        <w:jc w:val="both"/>
        <w:rPr>
          <w:rFonts w:ascii="Times New Roman" w:hAnsi="Times New Roman" w:cs="Times New Roman"/>
          <w:sz w:val="28"/>
          <w:szCs w:val="28"/>
        </w:rPr>
      </w:pPr>
    </w:p>
    <w:p w:rsidR="00FF5339" w:rsidRDefault="00FF5339"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9325" cy="5133975"/>
            <wp:effectExtent l="0" t="0" r="9525" b="9525"/>
            <wp:docPr id="2" name="Рисунок 2"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киоски внешний 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киоски внешний вид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325" cy="5133975"/>
                    </a:xfrm>
                    <a:prstGeom prst="rect">
                      <a:avLst/>
                    </a:prstGeom>
                    <a:noFill/>
                    <a:ln>
                      <a:noFill/>
                    </a:ln>
                  </pic:spPr>
                </pic:pic>
              </a:graphicData>
            </a:graphic>
          </wp:inline>
        </w:drawing>
      </w:r>
    </w:p>
    <w:p w:rsidR="007C2616" w:rsidRDefault="007C2616" w:rsidP="007C2616">
      <w:pPr>
        <w:spacing w:after="0" w:line="240" w:lineRule="auto"/>
        <w:jc w:val="both"/>
        <w:rPr>
          <w:rFonts w:ascii="Times New Roman" w:hAnsi="Times New Roman" w:cs="Times New Roman"/>
          <w:sz w:val="28"/>
          <w:szCs w:val="28"/>
        </w:rPr>
      </w:pPr>
    </w:p>
    <w:p w:rsidR="007C2616" w:rsidRDefault="007C2616" w:rsidP="007C2616">
      <w:pPr>
        <w:spacing w:after="0" w:line="240" w:lineRule="auto"/>
        <w:jc w:val="both"/>
        <w:rPr>
          <w:rFonts w:ascii="Times New Roman" w:hAnsi="Times New Roman" w:cs="Times New Roman"/>
          <w:sz w:val="28"/>
          <w:szCs w:val="28"/>
        </w:rPr>
      </w:pPr>
    </w:p>
    <w:p w:rsid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b/>
          <w:sz w:val="28"/>
          <w:szCs w:val="28"/>
        </w:rPr>
        <w:t>Торговый павильон</w:t>
      </w:r>
      <w:r w:rsidRPr="007C2616">
        <w:rPr>
          <w:rFonts w:ascii="Times New Roman" w:hAnsi="Times New Roman" w:cs="Times New Roman"/>
          <w:sz w:val="28"/>
          <w:szCs w:val="28"/>
        </w:rPr>
        <w:t>: НТО,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7C2616" w:rsidRDefault="007C2616" w:rsidP="007C2616">
      <w:pPr>
        <w:spacing w:after="0" w:line="240" w:lineRule="auto"/>
        <w:jc w:val="both"/>
        <w:rPr>
          <w:rFonts w:ascii="Times New Roman" w:hAnsi="Times New Roman" w:cs="Times New Roman"/>
          <w:sz w:val="28"/>
          <w:szCs w:val="28"/>
        </w:rPr>
      </w:pP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 xml:space="preserve">Павильон– оснащенное торговым оборудованием строение: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а) </w:t>
      </w:r>
      <w:r w:rsidRPr="00131F53">
        <w:rPr>
          <w:rFonts w:ascii="Times New Roman" w:hAnsi="Times New Roman" w:cs="Times New Roman"/>
          <w:sz w:val="28"/>
          <w:szCs w:val="28"/>
        </w:rPr>
        <w:t>с не менее чем двумя помещениями,</w:t>
      </w:r>
      <w:r w:rsidRPr="007C2616">
        <w:rPr>
          <w:rFonts w:ascii="Times New Roman" w:hAnsi="Times New Roman" w:cs="Times New Roman"/>
          <w:sz w:val="28"/>
          <w:szCs w:val="28"/>
        </w:rPr>
        <w:t xml:space="preserve"> рассчитанными на не менее чем одно рабочее место продавца и хранение товарного запаса: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торговым залом (с доступом покупателей внутрь);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помещением (помещениями) для хранения товарного запаса;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б) с не менее чем двумя входами: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входом для продавца (в помещения хранения товарного запаса (ширина дверного проема в свету не менее 0,9 м); </w:t>
      </w:r>
    </w:p>
    <w:p w:rsid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входом для покупателей (в торговый зал (ширина дверного проема в свету не менее 1,2 м);</w:t>
      </w:r>
    </w:p>
    <w:p w:rsidR="007C2616" w:rsidRPr="007C2616" w:rsidRDefault="007C2616" w:rsidP="00FF5339">
      <w:pPr>
        <w:spacing w:after="0" w:line="240" w:lineRule="auto"/>
        <w:ind w:firstLine="708"/>
        <w:jc w:val="both"/>
        <w:rPr>
          <w:rFonts w:ascii="Times New Roman" w:hAnsi="Times New Roman" w:cs="Times New Roman"/>
          <w:sz w:val="28"/>
          <w:szCs w:val="28"/>
        </w:rPr>
      </w:pPr>
      <w:r w:rsidRPr="007C2616">
        <w:rPr>
          <w:rFonts w:ascii="Times New Roman" w:hAnsi="Times New Roman" w:cs="Times New Roman"/>
          <w:sz w:val="28"/>
          <w:szCs w:val="28"/>
        </w:rPr>
        <w:t xml:space="preserve">в) хранение товарного запаса: </w:t>
      </w:r>
    </w:p>
    <w:p w:rsidR="007C2616" w:rsidRPr="00131F53"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lastRenderedPageBreak/>
        <w:tab/>
        <w:t>- помещение хранения товарного запаса не должно просматриваться из торгового зала (</w:t>
      </w:r>
      <w:r w:rsidRPr="00131F53">
        <w:rPr>
          <w:rFonts w:ascii="Times New Roman" w:hAnsi="Times New Roman" w:cs="Times New Roman"/>
          <w:sz w:val="28"/>
          <w:szCs w:val="28"/>
        </w:rPr>
        <w:t xml:space="preserve">в большом павильоне должно быть отделено от торгового зала дверью);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в помещении хранения должна быть выделена зона загрузки, оперативного хранения товара, тары и ТБО (складирование товара и тары, контейнер ТБО около павильона не допускается);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г) типы павильонов в зависимости от площади объекта (в границах наружных стен):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малый – 18 - 35 </w:t>
      </w:r>
      <w:proofErr w:type="spellStart"/>
      <w:proofErr w:type="gramStart"/>
      <w:r w:rsidRPr="007C2616">
        <w:rPr>
          <w:rFonts w:ascii="Times New Roman" w:hAnsi="Times New Roman" w:cs="Times New Roman"/>
          <w:sz w:val="28"/>
          <w:szCs w:val="28"/>
        </w:rPr>
        <w:t>кв.м</w:t>
      </w:r>
      <w:proofErr w:type="spellEnd"/>
      <w:proofErr w:type="gramEnd"/>
      <w:r w:rsidRPr="007C2616">
        <w:rPr>
          <w:rFonts w:ascii="Times New Roman" w:hAnsi="Times New Roman" w:cs="Times New Roman"/>
          <w:sz w:val="28"/>
          <w:szCs w:val="28"/>
        </w:rPr>
        <w:t xml:space="preserve">;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большой – 35</w:t>
      </w:r>
      <w:r w:rsidR="00131F53">
        <w:rPr>
          <w:rFonts w:ascii="Times New Roman" w:hAnsi="Times New Roman" w:cs="Times New Roman"/>
          <w:sz w:val="28"/>
          <w:szCs w:val="28"/>
        </w:rPr>
        <w:t xml:space="preserve"> </w:t>
      </w:r>
      <w:r w:rsidRPr="007C2616">
        <w:rPr>
          <w:rFonts w:ascii="Times New Roman" w:hAnsi="Times New Roman" w:cs="Times New Roman"/>
          <w:sz w:val="28"/>
          <w:szCs w:val="28"/>
        </w:rPr>
        <w:t>-</w:t>
      </w:r>
      <w:r w:rsidR="00131F53">
        <w:rPr>
          <w:rFonts w:ascii="Times New Roman" w:hAnsi="Times New Roman" w:cs="Times New Roman"/>
          <w:sz w:val="28"/>
          <w:szCs w:val="28"/>
        </w:rPr>
        <w:t xml:space="preserve"> </w:t>
      </w:r>
      <w:r w:rsidRPr="007C2616">
        <w:rPr>
          <w:rFonts w:ascii="Times New Roman" w:hAnsi="Times New Roman" w:cs="Times New Roman"/>
          <w:sz w:val="28"/>
          <w:szCs w:val="28"/>
        </w:rPr>
        <w:t xml:space="preserve">50 </w:t>
      </w:r>
      <w:proofErr w:type="spellStart"/>
      <w:proofErr w:type="gramStart"/>
      <w:r w:rsidRPr="007C2616">
        <w:rPr>
          <w:rFonts w:ascii="Times New Roman" w:hAnsi="Times New Roman" w:cs="Times New Roman"/>
          <w:sz w:val="28"/>
          <w:szCs w:val="28"/>
        </w:rPr>
        <w:t>кв.м</w:t>
      </w:r>
      <w:proofErr w:type="spellEnd"/>
      <w:proofErr w:type="gramEnd"/>
      <w:r w:rsidRPr="007C2616">
        <w:rPr>
          <w:rFonts w:ascii="Times New Roman" w:hAnsi="Times New Roman" w:cs="Times New Roman"/>
          <w:sz w:val="28"/>
          <w:szCs w:val="28"/>
        </w:rPr>
        <w:t xml:space="preserve">;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д) минимальная высота помещений (от пола до потолка): </w:t>
      </w:r>
    </w:p>
    <w:p w:rsid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торгового зала – не менее 3,0 м;</w:t>
      </w:r>
    </w:p>
    <w:p w:rsidR="007C2616" w:rsidRPr="007C2616" w:rsidRDefault="007C2616" w:rsidP="00FF5339">
      <w:pPr>
        <w:spacing w:after="0" w:line="240" w:lineRule="auto"/>
        <w:ind w:firstLine="708"/>
        <w:jc w:val="both"/>
        <w:rPr>
          <w:rFonts w:ascii="Times New Roman" w:hAnsi="Times New Roman" w:cs="Times New Roman"/>
          <w:sz w:val="28"/>
          <w:szCs w:val="28"/>
        </w:rPr>
      </w:pPr>
      <w:r w:rsidRPr="007C2616">
        <w:rPr>
          <w:rFonts w:ascii="Times New Roman" w:hAnsi="Times New Roman" w:cs="Times New Roman"/>
          <w:sz w:val="28"/>
          <w:szCs w:val="28"/>
        </w:rPr>
        <w:t xml:space="preserve">- иных помещений – не менее 2,7 м </w:t>
      </w:r>
      <w:r w:rsidRPr="00131F53">
        <w:rPr>
          <w:rFonts w:ascii="Times New Roman" w:hAnsi="Times New Roman" w:cs="Times New Roman"/>
          <w:sz w:val="28"/>
          <w:szCs w:val="28"/>
        </w:rPr>
        <w:t xml:space="preserve">(в обособленных помещениях хранения допускается понижение высоты до 2,2 м);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е) минимальные габариты проходов для покупателей в торговом зале: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при круговом движении – не менее 1,5 м;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при тупиковом движении (</w:t>
      </w:r>
      <w:proofErr w:type="spellStart"/>
      <w:r w:rsidRPr="007C2616">
        <w:rPr>
          <w:rFonts w:ascii="Times New Roman" w:hAnsi="Times New Roman" w:cs="Times New Roman"/>
          <w:sz w:val="28"/>
          <w:szCs w:val="28"/>
        </w:rPr>
        <w:t>периметральном</w:t>
      </w:r>
      <w:proofErr w:type="spellEnd"/>
      <w:r w:rsidRPr="007C2616">
        <w:rPr>
          <w:rFonts w:ascii="Times New Roman" w:hAnsi="Times New Roman" w:cs="Times New Roman"/>
          <w:sz w:val="28"/>
          <w:szCs w:val="28"/>
        </w:rPr>
        <w:t xml:space="preserve"> размещении прилавков) – не менее 1,8 м;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ж) инженерно-техническое обеспечение: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подключение к энергосети (внешнее и внутреннее освещение, отопление, торговое оборудование); </w:t>
      </w:r>
    </w:p>
    <w:p w:rsidR="007C2616" w:rsidRP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водоотведение ливневых стоков; </w:t>
      </w:r>
    </w:p>
    <w:p w:rsid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 xml:space="preserve">- кондиционирование; </w:t>
      </w:r>
    </w:p>
    <w:p w:rsidR="00FF5339" w:rsidRPr="00131F53" w:rsidRDefault="00FF5339" w:rsidP="007C2616">
      <w:pPr>
        <w:spacing w:after="0" w:line="240" w:lineRule="auto"/>
        <w:jc w:val="both"/>
        <w:rPr>
          <w:rFonts w:ascii="Times New Roman" w:hAnsi="Times New Roman" w:cs="Times New Roman"/>
          <w:sz w:val="28"/>
          <w:szCs w:val="28"/>
        </w:rPr>
      </w:pPr>
      <w:r w:rsidRPr="00131F53">
        <w:rPr>
          <w:rFonts w:ascii="Times New Roman" w:hAnsi="Times New Roman" w:cs="Times New Roman"/>
          <w:sz w:val="28"/>
          <w:szCs w:val="28"/>
        </w:rPr>
        <w:t>Примечание: водоснабжение привозной водой, отопление электрическое.</w:t>
      </w:r>
    </w:p>
    <w:p w:rsidR="007C2616" w:rsidRDefault="007C2616" w:rsidP="007C2616">
      <w:pPr>
        <w:spacing w:after="0" w:line="240" w:lineRule="auto"/>
        <w:jc w:val="both"/>
        <w:rPr>
          <w:rFonts w:ascii="Times New Roman" w:hAnsi="Times New Roman" w:cs="Times New Roman"/>
          <w:sz w:val="28"/>
          <w:szCs w:val="28"/>
        </w:rPr>
      </w:pPr>
      <w:r w:rsidRPr="007C2616">
        <w:rPr>
          <w:rFonts w:ascii="Times New Roman" w:hAnsi="Times New Roman" w:cs="Times New Roman"/>
          <w:sz w:val="28"/>
          <w:szCs w:val="28"/>
        </w:rPr>
        <w:tab/>
        <w:t>з) демонстрация товара на улице (размещение оборудования около павильона) не допускается.</w:t>
      </w:r>
      <w:r w:rsidRPr="007C2616">
        <w:rPr>
          <w:rFonts w:ascii="Times New Roman" w:hAnsi="Times New Roman" w:cs="Times New Roman"/>
          <w:sz w:val="28"/>
          <w:szCs w:val="28"/>
        </w:rPr>
        <w:tab/>
      </w:r>
    </w:p>
    <w:p w:rsidR="007C2616" w:rsidRDefault="007C2616" w:rsidP="007C2616">
      <w:pPr>
        <w:spacing w:after="0" w:line="240" w:lineRule="auto"/>
        <w:jc w:val="both"/>
        <w:rPr>
          <w:rFonts w:ascii="Times New Roman" w:hAnsi="Times New Roman" w:cs="Times New Roman"/>
          <w:sz w:val="28"/>
          <w:szCs w:val="28"/>
        </w:rPr>
      </w:pPr>
    </w:p>
    <w:p w:rsidR="007C2616" w:rsidRDefault="007C2616"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05175"/>
            <wp:effectExtent l="0" t="0" r="9525" b="9525"/>
            <wp:docPr id="5" name="Рисунок 5"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rsidR="00CF0D38" w:rsidRDefault="00CF0D38" w:rsidP="007C2616">
      <w:pPr>
        <w:spacing w:after="0" w:line="240" w:lineRule="auto"/>
        <w:jc w:val="both"/>
        <w:rPr>
          <w:rFonts w:ascii="Times New Roman" w:hAnsi="Times New Roman" w:cs="Times New Roman"/>
          <w:sz w:val="28"/>
          <w:szCs w:val="28"/>
        </w:rPr>
      </w:pPr>
    </w:p>
    <w:p w:rsidR="00CF0D38" w:rsidRDefault="00CF0D38"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9325" cy="3390900"/>
            <wp:effectExtent l="0" t="0" r="9525" b="0"/>
            <wp:docPr id="3" name="Рисунок 3"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CF0D38" w:rsidRDefault="00CF0D38" w:rsidP="007C2616">
      <w:pPr>
        <w:spacing w:after="0" w:line="240" w:lineRule="auto"/>
        <w:jc w:val="both"/>
        <w:rPr>
          <w:rFonts w:ascii="Times New Roman" w:hAnsi="Times New Roman" w:cs="Times New Roman"/>
          <w:sz w:val="28"/>
          <w:szCs w:val="28"/>
        </w:rPr>
      </w:pPr>
    </w:p>
    <w:p w:rsidR="00CF0D38" w:rsidRDefault="00CF0D38"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29325" cy="3390900"/>
            <wp:effectExtent l="0" t="0" r="9525" b="0"/>
            <wp:docPr id="6" name="Рисунок 6"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CF0D38" w:rsidRDefault="00CF0D38" w:rsidP="007C2616">
      <w:pPr>
        <w:spacing w:after="0" w:line="240" w:lineRule="auto"/>
        <w:jc w:val="both"/>
        <w:rPr>
          <w:rFonts w:ascii="Times New Roman" w:hAnsi="Times New Roman" w:cs="Times New Roman"/>
          <w:sz w:val="28"/>
          <w:szCs w:val="28"/>
        </w:rPr>
      </w:pPr>
    </w:p>
    <w:p w:rsidR="00CF0D38" w:rsidRDefault="00CF0D38" w:rsidP="007C26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9325" cy="3390900"/>
            <wp:effectExtent l="0" t="0" r="9525" b="0"/>
            <wp:docPr id="7" name="Рисунок 7"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_ДОКУМЕНТЫ_СОТРУДНИКОВ_\Жернакова\Благоустройство\Правила блогоустройства\Внесение изменений _Правила благоустройства_апрель-май 2022\Приложение к РД ВИ\павильон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CF0D38" w:rsidRDefault="00CF0D38" w:rsidP="007C2616">
      <w:pPr>
        <w:spacing w:after="0" w:line="240" w:lineRule="auto"/>
        <w:jc w:val="both"/>
        <w:rPr>
          <w:rFonts w:ascii="Times New Roman" w:hAnsi="Times New Roman" w:cs="Times New Roman"/>
          <w:sz w:val="28"/>
          <w:szCs w:val="28"/>
        </w:rPr>
      </w:pPr>
    </w:p>
    <w:p w:rsidR="00BA498E" w:rsidRDefault="007C2616" w:rsidP="00BA498E">
      <w:pPr>
        <w:spacing w:after="0" w:line="240" w:lineRule="auto"/>
        <w:ind w:firstLine="708"/>
        <w:jc w:val="both"/>
        <w:rPr>
          <w:rFonts w:ascii="Times New Roman" w:hAnsi="Times New Roman" w:cs="Times New Roman"/>
          <w:sz w:val="28"/>
          <w:szCs w:val="28"/>
        </w:rPr>
      </w:pPr>
      <w:r w:rsidRPr="007C2616">
        <w:rPr>
          <w:rFonts w:ascii="Times New Roman" w:hAnsi="Times New Roman" w:cs="Times New Roman"/>
          <w:sz w:val="28"/>
          <w:szCs w:val="28"/>
        </w:rPr>
        <w:t xml:space="preserve">Торговая галерея: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7C2616">
        <w:rPr>
          <w:rFonts w:ascii="Times New Roman" w:hAnsi="Times New Roman" w:cs="Times New Roman"/>
          <w:sz w:val="28"/>
          <w:szCs w:val="28"/>
        </w:rPr>
        <w:t>светопрозрачной</w:t>
      </w:r>
      <w:proofErr w:type="spellEnd"/>
      <w:r w:rsidRPr="007C2616">
        <w:rPr>
          <w:rFonts w:ascii="Times New Roman" w:hAnsi="Times New Roman" w:cs="Times New Roman"/>
          <w:sz w:val="28"/>
          <w:szCs w:val="28"/>
        </w:rPr>
        <w:t xml:space="preserve"> кровлей, не несущей теплоизоляционную функцию.</w:t>
      </w:r>
    </w:p>
    <w:p w:rsidR="007C2616" w:rsidRDefault="007C2616" w:rsidP="00BA498E">
      <w:pPr>
        <w:spacing w:after="0" w:line="240" w:lineRule="auto"/>
        <w:ind w:firstLine="708"/>
        <w:jc w:val="both"/>
        <w:rPr>
          <w:rFonts w:ascii="Times New Roman" w:hAnsi="Times New Roman" w:cs="Times New Roman"/>
          <w:sz w:val="28"/>
          <w:szCs w:val="28"/>
        </w:rPr>
      </w:pPr>
      <w:r w:rsidRPr="007C2616">
        <w:rPr>
          <w:rFonts w:ascii="Times New Roman" w:hAnsi="Times New Roman" w:cs="Times New Roman"/>
          <w:sz w:val="28"/>
          <w:szCs w:val="28"/>
        </w:rPr>
        <w:t xml:space="preserve">В случае объединения нескольких НТО в единый модуль (торговая </w:t>
      </w:r>
      <w:proofErr w:type="spellStart"/>
      <w:r w:rsidRPr="007C2616">
        <w:rPr>
          <w:rFonts w:ascii="Times New Roman" w:hAnsi="Times New Roman" w:cs="Times New Roman"/>
          <w:sz w:val="28"/>
          <w:szCs w:val="28"/>
        </w:rPr>
        <w:t>галлерея</w:t>
      </w:r>
      <w:proofErr w:type="spellEnd"/>
      <w:r w:rsidRPr="007C2616">
        <w:rPr>
          <w:rFonts w:ascii="Times New Roman" w:hAnsi="Times New Roman" w:cs="Times New Roman"/>
          <w:sz w:val="28"/>
          <w:szCs w:val="28"/>
        </w:rPr>
        <w:t>), а также для объектов, находящихся в одной торговой зоне, материалы наружной отделки, соединительные декоративные элементы,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наружной отделки всех НТО торговой зоны и сблокированных НТО должна соответствовать установленной для данной торговой площадки.</w:t>
      </w:r>
      <w:r w:rsidRPr="007C2616">
        <w:rPr>
          <w:rFonts w:ascii="Times New Roman" w:hAnsi="Times New Roman" w:cs="Times New Roman"/>
          <w:sz w:val="28"/>
          <w:szCs w:val="28"/>
        </w:rPr>
        <w:tab/>
      </w:r>
      <w:r w:rsidRPr="007C2616">
        <w:rPr>
          <w:rFonts w:ascii="Times New Roman" w:hAnsi="Times New Roman" w:cs="Times New Roman"/>
          <w:sz w:val="28"/>
          <w:szCs w:val="28"/>
        </w:rPr>
        <w:tab/>
      </w:r>
    </w:p>
    <w:p w:rsidR="00AE3A69" w:rsidRPr="007C2616" w:rsidRDefault="00F00F0E" w:rsidP="007C2616">
      <w:pPr>
        <w:numPr>
          <w:ilvl w:val="0"/>
          <w:numId w:val="1"/>
        </w:numPr>
        <w:spacing w:after="0" w:line="240" w:lineRule="auto"/>
        <w:jc w:val="both"/>
        <w:rPr>
          <w:rFonts w:ascii="Times New Roman" w:hAnsi="Times New Roman" w:cs="Times New Roman"/>
          <w:sz w:val="28"/>
          <w:szCs w:val="28"/>
        </w:rPr>
      </w:pPr>
      <w:proofErr w:type="spellStart"/>
      <w:r w:rsidRPr="007C2616">
        <w:rPr>
          <w:rFonts w:ascii="Times New Roman" w:hAnsi="Times New Roman" w:cs="Times New Roman"/>
          <w:b/>
          <w:bCs/>
          <w:sz w:val="28"/>
          <w:szCs w:val="28"/>
        </w:rPr>
        <w:t>Фудтрак</w:t>
      </w:r>
      <w:proofErr w:type="spellEnd"/>
      <w:r w:rsidRPr="007C2616">
        <w:rPr>
          <w:rFonts w:ascii="Times New Roman" w:hAnsi="Times New Roman" w:cs="Times New Roman"/>
          <w:sz w:val="28"/>
          <w:szCs w:val="28"/>
        </w:rPr>
        <w:t>: передвижной НТО, кафе-автофургон с мобильной кухней для торговли едой и напитками быстрого приготовления.</w:t>
      </w:r>
    </w:p>
    <w:p w:rsidR="00AE3A69" w:rsidRPr="007C2616" w:rsidRDefault="00F00F0E" w:rsidP="007C2616">
      <w:pPr>
        <w:numPr>
          <w:ilvl w:val="0"/>
          <w:numId w:val="1"/>
        </w:numPr>
        <w:spacing w:after="0" w:line="240" w:lineRule="auto"/>
        <w:jc w:val="both"/>
        <w:rPr>
          <w:rFonts w:ascii="Times New Roman" w:hAnsi="Times New Roman" w:cs="Times New Roman"/>
          <w:sz w:val="28"/>
          <w:szCs w:val="28"/>
        </w:rPr>
      </w:pPr>
      <w:r w:rsidRPr="007C2616">
        <w:rPr>
          <w:rFonts w:ascii="Times New Roman" w:hAnsi="Times New Roman" w:cs="Times New Roman"/>
          <w:b/>
          <w:bCs/>
          <w:sz w:val="28"/>
          <w:szCs w:val="28"/>
        </w:rPr>
        <w:t xml:space="preserve">Киоск-стакан: </w:t>
      </w:r>
      <w:r w:rsidRPr="007C2616">
        <w:rPr>
          <w:rFonts w:ascii="Times New Roman" w:hAnsi="Times New Roman" w:cs="Times New Roman"/>
          <w:sz w:val="28"/>
          <w:szCs w:val="28"/>
        </w:rPr>
        <w:t>НТО, киоск на одно рабочее место в виде стакана диаметром до 2,5 метров.</w:t>
      </w:r>
    </w:p>
    <w:p w:rsidR="00AE3A69" w:rsidRDefault="00F00F0E" w:rsidP="007C2616">
      <w:pPr>
        <w:numPr>
          <w:ilvl w:val="0"/>
          <w:numId w:val="1"/>
        </w:numPr>
        <w:spacing w:after="0" w:line="240" w:lineRule="auto"/>
        <w:jc w:val="both"/>
        <w:rPr>
          <w:rFonts w:ascii="Times New Roman" w:hAnsi="Times New Roman" w:cs="Times New Roman"/>
          <w:sz w:val="28"/>
          <w:szCs w:val="28"/>
        </w:rPr>
      </w:pPr>
      <w:r w:rsidRPr="007C2616">
        <w:rPr>
          <w:rFonts w:ascii="Times New Roman" w:hAnsi="Times New Roman" w:cs="Times New Roman"/>
          <w:b/>
          <w:bCs/>
          <w:sz w:val="28"/>
          <w:szCs w:val="28"/>
        </w:rPr>
        <w:t xml:space="preserve">Сезонное (летнее) кафе: </w:t>
      </w:r>
      <w:r w:rsidRPr="007C2616">
        <w:rPr>
          <w:rFonts w:ascii="Times New Roman" w:hAnsi="Times New Roman" w:cs="Times New Roman"/>
          <w:sz w:val="28"/>
          <w:szCs w:val="28"/>
        </w:rPr>
        <w:t>НТО общественного питания, специально оборудованное временное сооружение, в том числе при стационарном предприятии,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w:t>
      </w:r>
    </w:p>
    <w:p w:rsidR="00B6268D" w:rsidRPr="00B6268D" w:rsidRDefault="00B6268D" w:rsidP="00BA498E">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Площадка для размещения НТО должна иметь твердое покрытие.</w:t>
      </w:r>
    </w:p>
    <w:p w:rsidR="00B6268D" w:rsidRDefault="00B6268D" w:rsidP="00B6268D">
      <w:pPr>
        <w:spacing w:after="0" w:line="240" w:lineRule="auto"/>
        <w:jc w:val="both"/>
        <w:rPr>
          <w:rFonts w:ascii="Times New Roman" w:hAnsi="Times New Roman" w:cs="Times New Roman"/>
          <w:sz w:val="28"/>
          <w:szCs w:val="28"/>
        </w:rPr>
      </w:pPr>
    </w:p>
    <w:p w:rsidR="00131F53" w:rsidRPr="00B6268D" w:rsidRDefault="00131F53" w:rsidP="00B6268D">
      <w:pPr>
        <w:spacing w:after="0" w:line="240" w:lineRule="auto"/>
        <w:jc w:val="both"/>
        <w:rPr>
          <w:rFonts w:ascii="Times New Roman" w:hAnsi="Times New Roman" w:cs="Times New Roman"/>
          <w:sz w:val="28"/>
          <w:szCs w:val="28"/>
        </w:rPr>
      </w:pPr>
    </w:p>
    <w:p w:rsidR="00B6268D" w:rsidRPr="00B6268D" w:rsidRDefault="00B6268D" w:rsidP="00BA498E">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lastRenderedPageBreak/>
        <w:t>Границы благоустройства устанавливаются в зависимости от типа сооружения с учетом особенностей территории, на которой планируется размещение НТО.</w:t>
      </w:r>
    </w:p>
    <w:p w:rsidR="00B6268D" w:rsidRPr="00B6268D"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Основными элементами благоустройства НТО являются укладка тротуарной плитки, установка урны и скамьи, установка дополнительного уличного освещения и оборудование велосипедной парковки, озеленение территории, в случае необходимости устанавливается пешеходное ограждение.</w:t>
      </w:r>
    </w:p>
    <w:p w:rsidR="007C2616"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Не допускается складирование товара, упаковок, мусора на прилегающей территории, элементах благоустройства.</w:t>
      </w:r>
    </w:p>
    <w:p w:rsidR="00B6268D" w:rsidRPr="00B6268D"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Техническая оснащенность НТО должна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соблюдение условий труда и правил личной гигиены работников.</w:t>
      </w:r>
    </w:p>
    <w:p w:rsidR="00B6268D" w:rsidRPr="00B6268D" w:rsidRDefault="00CF0D38" w:rsidP="00B6268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6268D" w:rsidRPr="00B6268D">
        <w:rPr>
          <w:rFonts w:ascii="Times New Roman" w:hAnsi="Times New Roman" w:cs="Times New Roman"/>
          <w:sz w:val="28"/>
          <w:szCs w:val="28"/>
        </w:rPr>
        <w:t>НТО должны отвечать удобству и функциональности для осуществления торговой деятельности.</w:t>
      </w:r>
    </w:p>
    <w:p w:rsidR="00B6268D" w:rsidRPr="00B6268D"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 xml:space="preserve">Допускается установка </w:t>
      </w:r>
      <w:proofErr w:type="spellStart"/>
      <w:r w:rsidRPr="00B6268D">
        <w:rPr>
          <w:rFonts w:ascii="Times New Roman" w:hAnsi="Times New Roman" w:cs="Times New Roman"/>
          <w:sz w:val="28"/>
          <w:szCs w:val="28"/>
        </w:rPr>
        <w:t>рольставней</w:t>
      </w:r>
      <w:proofErr w:type="spellEnd"/>
      <w:r w:rsidRPr="00B6268D">
        <w:rPr>
          <w:rFonts w:ascii="Times New Roman" w:hAnsi="Times New Roman" w:cs="Times New Roman"/>
          <w:sz w:val="28"/>
          <w:szCs w:val="28"/>
        </w:rPr>
        <w:t>, утвержденных архитектурным паспортом НТО.</w:t>
      </w:r>
    </w:p>
    <w:p w:rsidR="00B6268D" w:rsidRPr="00B6268D"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В случае оборудования НТО кондиционером, его наружный блок должен быть расположен на стальных салазках на крыше по центру с тыльной стороны фасада.</w:t>
      </w:r>
    </w:p>
    <w:p w:rsidR="00B6268D" w:rsidRPr="007C2616"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 xml:space="preserve">Не допускается размещение рекламно-информационного оформления (включая </w:t>
      </w:r>
      <w:proofErr w:type="spellStart"/>
      <w:r w:rsidRPr="00B6268D">
        <w:rPr>
          <w:rFonts w:ascii="Times New Roman" w:hAnsi="Times New Roman" w:cs="Times New Roman"/>
          <w:sz w:val="28"/>
          <w:szCs w:val="28"/>
        </w:rPr>
        <w:t>самоклеющуюся</w:t>
      </w:r>
      <w:proofErr w:type="spellEnd"/>
      <w:r w:rsidRPr="00B6268D">
        <w:rPr>
          <w:rFonts w:ascii="Times New Roman" w:hAnsi="Times New Roman" w:cs="Times New Roman"/>
          <w:sz w:val="28"/>
          <w:szCs w:val="28"/>
        </w:rPr>
        <w:t xml:space="preserve"> пленку) на остеклении и наружных стенах, а также выносных конструкциях, выступающих за габариты НТО.</w:t>
      </w:r>
    </w:p>
    <w:p w:rsidR="007C2616" w:rsidRPr="007C2616" w:rsidRDefault="00B6268D" w:rsidP="00CF0D38">
      <w:pPr>
        <w:spacing w:after="0" w:line="240" w:lineRule="auto"/>
        <w:ind w:firstLine="708"/>
        <w:jc w:val="both"/>
        <w:rPr>
          <w:rFonts w:ascii="Times New Roman" w:hAnsi="Times New Roman" w:cs="Times New Roman"/>
          <w:sz w:val="28"/>
          <w:szCs w:val="28"/>
        </w:rPr>
      </w:pPr>
      <w:r w:rsidRPr="00B6268D">
        <w:rPr>
          <w:rFonts w:ascii="Times New Roman" w:hAnsi="Times New Roman" w:cs="Times New Roman"/>
          <w:sz w:val="28"/>
          <w:szCs w:val="28"/>
        </w:rPr>
        <w:t>Отступление от требований к внешнему виду, конструктивным особенностям и параметрам нестационарных объектов (павильонов, киосков), размещаемых на городских территориях, допускается в случае, если указанное отступление обусл</w:t>
      </w:r>
      <w:r>
        <w:rPr>
          <w:rFonts w:ascii="Times New Roman" w:hAnsi="Times New Roman" w:cs="Times New Roman"/>
          <w:sz w:val="28"/>
          <w:szCs w:val="28"/>
        </w:rPr>
        <w:t xml:space="preserve">овлено действующим техническим </w:t>
      </w:r>
      <w:r w:rsidRPr="00B6268D">
        <w:rPr>
          <w:rFonts w:ascii="Times New Roman" w:hAnsi="Times New Roman" w:cs="Times New Roman"/>
          <w:sz w:val="28"/>
          <w:szCs w:val="28"/>
        </w:rPr>
        <w:t>регламентом, утвержденной нормативной документацией, санитарными правилами и нормами.</w:t>
      </w: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p w:rsidR="00FA2B8A" w:rsidRDefault="00FA2B8A" w:rsidP="00F44202">
      <w:pPr>
        <w:spacing w:after="0" w:line="240" w:lineRule="auto"/>
        <w:jc w:val="center"/>
        <w:rPr>
          <w:rFonts w:ascii="Times New Roman" w:hAnsi="Times New Roman" w:cs="Times New Roman"/>
          <w:sz w:val="28"/>
          <w:szCs w:val="28"/>
        </w:rPr>
      </w:pPr>
    </w:p>
    <w:sectPr w:rsidR="00FA2B8A" w:rsidSect="00AC3C9D">
      <w:pgSz w:w="11906" w:h="16838"/>
      <w:pgMar w:top="1134" w:right="707"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F4290"/>
    <w:multiLevelType w:val="hybridMultilevel"/>
    <w:tmpl w:val="ADA6573C"/>
    <w:lvl w:ilvl="0" w:tplc="26A28748">
      <w:start w:val="1"/>
      <w:numFmt w:val="bullet"/>
      <w:lvlText w:val=""/>
      <w:lvlJc w:val="left"/>
      <w:pPr>
        <w:tabs>
          <w:tab w:val="num" w:pos="720"/>
        </w:tabs>
        <w:ind w:left="720" w:hanging="360"/>
      </w:pPr>
      <w:rPr>
        <w:rFonts w:ascii="Wingdings 2" w:hAnsi="Wingdings 2" w:hint="default"/>
      </w:rPr>
    </w:lvl>
    <w:lvl w:ilvl="1" w:tplc="5DFAC1F4" w:tentative="1">
      <w:start w:val="1"/>
      <w:numFmt w:val="bullet"/>
      <w:lvlText w:val=""/>
      <w:lvlJc w:val="left"/>
      <w:pPr>
        <w:tabs>
          <w:tab w:val="num" w:pos="1440"/>
        </w:tabs>
        <w:ind w:left="1440" w:hanging="360"/>
      </w:pPr>
      <w:rPr>
        <w:rFonts w:ascii="Wingdings 2" w:hAnsi="Wingdings 2" w:hint="default"/>
      </w:rPr>
    </w:lvl>
    <w:lvl w:ilvl="2" w:tplc="5BBA56B6" w:tentative="1">
      <w:start w:val="1"/>
      <w:numFmt w:val="bullet"/>
      <w:lvlText w:val=""/>
      <w:lvlJc w:val="left"/>
      <w:pPr>
        <w:tabs>
          <w:tab w:val="num" w:pos="2160"/>
        </w:tabs>
        <w:ind w:left="2160" w:hanging="360"/>
      </w:pPr>
      <w:rPr>
        <w:rFonts w:ascii="Wingdings 2" w:hAnsi="Wingdings 2" w:hint="default"/>
      </w:rPr>
    </w:lvl>
    <w:lvl w:ilvl="3" w:tplc="FF5650A2" w:tentative="1">
      <w:start w:val="1"/>
      <w:numFmt w:val="bullet"/>
      <w:lvlText w:val=""/>
      <w:lvlJc w:val="left"/>
      <w:pPr>
        <w:tabs>
          <w:tab w:val="num" w:pos="2880"/>
        </w:tabs>
        <w:ind w:left="2880" w:hanging="360"/>
      </w:pPr>
      <w:rPr>
        <w:rFonts w:ascii="Wingdings 2" w:hAnsi="Wingdings 2" w:hint="default"/>
      </w:rPr>
    </w:lvl>
    <w:lvl w:ilvl="4" w:tplc="AB5C8CC8" w:tentative="1">
      <w:start w:val="1"/>
      <w:numFmt w:val="bullet"/>
      <w:lvlText w:val=""/>
      <w:lvlJc w:val="left"/>
      <w:pPr>
        <w:tabs>
          <w:tab w:val="num" w:pos="3600"/>
        </w:tabs>
        <w:ind w:left="3600" w:hanging="360"/>
      </w:pPr>
      <w:rPr>
        <w:rFonts w:ascii="Wingdings 2" w:hAnsi="Wingdings 2" w:hint="default"/>
      </w:rPr>
    </w:lvl>
    <w:lvl w:ilvl="5" w:tplc="5BFA03F2" w:tentative="1">
      <w:start w:val="1"/>
      <w:numFmt w:val="bullet"/>
      <w:lvlText w:val=""/>
      <w:lvlJc w:val="left"/>
      <w:pPr>
        <w:tabs>
          <w:tab w:val="num" w:pos="4320"/>
        </w:tabs>
        <w:ind w:left="4320" w:hanging="360"/>
      </w:pPr>
      <w:rPr>
        <w:rFonts w:ascii="Wingdings 2" w:hAnsi="Wingdings 2" w:hint="default"/>
      </w:rPr>
    </w:lvl>
    <w:lvl w:ilvl="6" w:tplc="CE064BA0" w:tentative="1">
      <w:start w:val="1"/>
      <w:numFmt w:val="bullet"/>
      <w:lvlText w:val=""/>
      <w:lvlJc w:val="left"/>
      <w:pPr>
        <w:tabs>
          <w:tab w:val="num" w:pos="5040"/>
        </w:tabs>
        <w:ind w:left="5040" w:hanging="360"/>
      </w:pPr>
      <w:rPr>
        <w:rFonts w:ascii="Wingdings 2" w:hAnsi="Wingdings 2" w:hint="default"/>
      </w:rPr>
    </w:lvl>
    <w:lvl w:ilvl="7" w:tplc="86AAC2F6" w:tentative="1">
      <w:start w:val="1"/>
      <w:numFmt w:val="bullet"/>
      <w:lvlText w:val=""/>
      <w:lvlJc w:val="left"/>
      <w:pPr>
        <w:tabs>
          <w:tab w:val="num" w:pos="5760"/>
        </w:tabs>
        <w:ind w:left="5760" w:hanging="360"/>
      </w:pPr>
      <w:rPr>
        <w:rFonts w:ascii="Wingdings 2" w:hAnsi="Wingdings 2" w:hint="default"/>
      </w:rPr>
    </w:lvl>
    <w:lvl w:ilvl="8" w:tplc="11FEC21A"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48"/>
    <w:rsid w:val="00100D01"/>
    <w:rsid w:val="00131F53"/>
    <w:rsid w:val="00295734"/>
    <w:rsid w:val="002C06B1"/>
    <w:rsid w:val="006739CA"/>
    <w:rsid w:val="00701848"/>
    <w:rsid w:val="007C2616"/>
    <w:rsid w:val="00801FC5"/>
    <w:rsid w:val="009C0EEC"/>
    <w:rsid w:val="00AC3C9D"/>
    <w:rsid w:val="00AE3A69"/>
    <w:rsid w:val="00B6268D"/>
    <w:rsid w:val="00BA498E"/>
    <w:rsid w:val="00CF0D38"/>
    <w:rsid w:val="00D90A87"/>
    <w:rsid w:val="00F00F0E"/>
    <w:rsid w:val="00F44202"/>
    <w:rsid w:val="00F92AF3"/>
    <w:rsid w:val="00FA2B8A"/>
    <w:rsid w:val="00FF5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54C5"/>
  <w15:docId w15:val="{D56E42DB-AF93-4751-8CEB-77E194CF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18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1848"/>
    <w:rPr>
      <w:rFonts w:ascii="Tahoma" w:hAnsi="Tahoma" w:cs="Tahoma"/>
      <w:sz w:val="16"/>
      <w:szCs w:val="16"/>
    </w:rPr>
  </w:style>
  <w:style w:type="paragraph" w:customStyle="1" w:styleId="ConsPlusNormal">
    <w:name w:val="ConsPlusNormal"/>
    <w:rsid w:val="00F44202"/>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9748">
      <w:bodyDiv w:val="1"/>
      <w:marLeft w:val="0"/>
      <w:marRight w:val="0"/>
      <w:marTop w:val="0"/>
      <w:marBottom w:val="0"/>
      <w:divBdr>
        <w:top w:val="none" w:sz="0" w:space="0" w:color="auto"/>
        <w:left w:val="none" w:sz="0" w:space="0" w:color="auto"/>
        <w:bottom w:val="none" w:sz="0" w:space="0" w:color="auto"/>
        <w:right w:val="none" w:sz="0" w:space="0" w:color="auto"/>
      </w:divBdr>
      <w:divsChild>
        <w:div w:id="1087269832">
          <w:marLeft w:val="432"/>
          <w:marRight w:val="0"/>
          <w:marTop w:val="96"/>
          <w:marBottom w:val="0"/>
          <w:divBdr>
            <w:top w:val="none" w:sz="0" w:space="0" w:color="auto"/>
            <w:left w:val="none" w:sz="0" w:space="0" w:color="auto"/>
            <w:bottom w:val="none" w:sz="0" w:space="0" w:color="auto"/>
            <w:right w:val="none" w:sz="0" w:space="0" w:color="auto"/>
          </w:divBdr>
        </w:div>
        <w:div w:id="1094132090">
          <w:marLeft w:val="432"/>
          <w:marRight w:val="0"/>
          <w:marTop w:val="96"/>
          <w:marBottom w:val="0"/>
          <w:divBdr>
            <w:top w:val="none" w:sz="0" w:space="0" w:color="auto"/>
            <w:left w:val="none" w:sz="0" w:space="0" w:color="auto"/>
            <w:bottom w:val="none" w:sz="0" w:space="0" w:color="auto"/>
            <w:right w:val="none" w:sz="0" w:space="0" w:color="auto"/>
          </w:divBdr>
        </w:div>
        <w:div w:id="276451827">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9</Pages>
  <Words>1573</Words>
  <Characters>8971</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Скоморохова Лариса Ивановна</dc:creator>
  <cp:lastModifiedBy>Жернакова Марина Сергеевна</cp:lastModifiedBy>
  <cp:revision>5</cp:revision>
  <dcterms:created xsi:type="dcterms:W3CDTF">2022-04-27T04:41:00Z</dcterms:created>
  <dcterms:modified xsi:type="dcterms:W3CDTF">2022-05-04T10:24:00Z</dcterms:modified>
</cp:coreProperties>
</file>