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м</w:t>
      </w:r>
      <w:r>
        <w:rPr>
          <w:rFonts w:ascii="Times New Roman" w:hAnsi="Times New Roman"/>
          <w:b/>
          <w:sz w:val="28"/>
          <w:szCs w:val="28"/>
        </w:rPr>
        <w:t xml:space="preserve">ежведомственной комиссии по охране труда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рода</w:t>
      </w:r>
      <w:r>
        <w:rPr>
          <w:rFonts w:ascii="Times New Roman" w:hAnsi="Times New Roman"/>
          <w:b/>
          <w:sz w:val="28"/>
          <w:szCs w:val="28"/>
        </w:rPr>
        <w:t xml:space="preserve"> Нижневартовска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firstLine="0"/>
        <w:spacing w:after="0" w:line="240" w:lineRule="auto"/>
        <w:tabs>
          <w:tab w:val="left" w:pos="24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16.06.2026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г.</w:t>
      </w:r>
      <w:r>
        <w:rPr>
          <w:rFonts w:ascii="Times New Roman" w:hAnsi="Times New Roman"/>
          <w:b/>
          <w:sz w:val="28"/>
          <w:szCs w:val="28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 xml:space="preserve">ижневартовск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pPr w:horzAnchor="text" w:tblpXSpec="left" w:vertAnchor="text" w:tblpY="1" w:leftFromText="180" w:topFromText="0" w:rightFromText="180" w:bottomFromText="0"/>
        <w:tblW w:w="2181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68"/>
        <w:gridCol w:w="425"/>
        <w:gridCol w:w="6096"/>
        <w:gridCol w:w="25"/>
        <w:gridCol w:w="5951"/>
        <w:gridCol w:w="5951"/>
      </w:tblGrid>
      <w:tr>
        <w:tblPrEx/>
        <w:trPr>
          <w:gridAfter w:val="2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Председательств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овал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931"/>
              <w:ind w:firstLine="0"/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3"/>
          <w:trHeight w:val="96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Мурашко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31"/>
              <w:ind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Ирина Николаевна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заместитель главы города по экономике              и финансам, председатель комиссии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2"/>
          <w:trHeight w:val="46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tabs>
                <w:tab w:val="left" w:pos="2460" w:leader="none"/>
              </w:tabs>
              <w:rPr>
                <w:rFonts w:ascii="Times New Roman" w:hAnsi="Times New Roman"/>
                <w:b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труда управления экономики и стратегического планирования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департамента экономического развития администрации города, секретарь коми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6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right="28" w:firstLine="0"/>
              <w:spacing w:after="0" w:line="240" w:lineRule="auto"/>
              <w:widowControl w:val="off"/>
              <w:tabs>
                <w:tab w:val="left" w:pos="2400" w:leader="none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right="28" w:firstLine="0"/>
              <w:spacing w:after="0" w:line="240" w:lineRule="auto"/>
              <w:widowControl w:val="off"/>
              <w:tabs>
                <w:tab w:val="left" w:pos="2400" w:leader="none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Марина Александровна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директора департамента экономического развития администрации города,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 комиссии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Есипова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аместитель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начальника отдела организации профессиональных рисков №3 Регионального отделения Фонда пенсионного и социального страхования РФ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Ханты-Мансийскому автономному округу - Югре                               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Ложкин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Сергеевич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Нижневартовского комплексного отдела Северо-Уральского управления Ростехнадзора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Садирова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afterAutospacing="0" w:line="240" w:lineRule="auto"/>
              <w:tabs>
                <w:tab w:val="left" w:pos="2028" w:leader="none"/>
              </w:tabs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объединения организаций (Ассоциации) профсоюзов города Нижневартовска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afterAutospacing="0" w:line="240" w:lineRule="auto"/>
              <w:tabs>
                <w:tab w:val="left" w:pos="2028" w:leader="none"/>
              </w:tabs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Шайдуллина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Николаевна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надзора                и контроля по соблюдению трудового законодательства в организациях города Нижневартовска Государственной инспекции труда Ханты-Мансийского автономного округа – Югры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0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Щеглов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Евгений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управления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14" w:type="dxa"/>
            <w:vAlign w:val="top"/>
            <w:textDirection w:val="lrTb"/>
            <w:noWrap w:val="false"/>
          </w:tcPr>
          <w:p>
            <w:pPr>
              <w:pStyle w:val="944"/>
              <w:jc w:val="left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44"/>
              <w:jc w:val="left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Представитель прокуратуры города Нижневартовска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44"/>
              <w:jc w:val="left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1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1" w:type="dxa"/>
            <w:vAlign w:val="top"/>
            <w:textDirection w:val="lrTb"/>
            <w:noWrap w:val="false"/>
          </w:tcPr>
          <w:p>
            <w:pPr>
              <w:pStyle w:val="933"/>
              <w:ind w:left="-117"/>
              <w:jc w:val="both"/>
              <w:spacing w:after="120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прокурор города Нижневартовска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31"/>
              <w:ind w:firstLine="0"/>
              <w:jc w:val="left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gridAfter w:val="3"/>
          <w:trHeight w:val="69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8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Латыпова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Камила Рустамовна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rPr>
                <w:szCs w:val="28"/>
              </w:rPr>
              <w:framePr w:hSpace="180" w:wrap="around" w:vAnchor="text" w:hAnchor="text" w:y="1"/>
            </w:pPr>
            <w:r>
              <w:rPr>
                <w:szCs w:val="28"/>
              </w:rPr>
              <w:t xml:space="preserve">помощник прокурора города Нижневартовска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31"/>
        <w:ind w:firstLine="0"/>
        <w:spacing w:after="120"/>
        <w:tabs>
          <w:tab w:val="left" w:pos="6396" w:leader="none"/>
          <w:tab w:val="left" w:pos="805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spacing w:after="120"/>
        <w:tabs>
          <w:tab w:val="left" w:pos="6396" w:leader="none"/>
          <w:tab w:val="left" w:pos="805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Приглашенные: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2191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1"/>
        <w:gridCol w:w="425"/>
        <w:gridCol w:w="6029"/>
        <w:gridCol w:w="14"/>
        <w:gridCol w:w="6029"/>
        <w:gridCol w:w="6043"/>
      </w:tblGrid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Данилова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Елена Николаевна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afterAutospacing="0" w:line="240" w:lineRule="auto"/>
              <w:tabs>
                <w:tab w:val="left" w:pos="4219" w:leader="none"/>
              </w:tabs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специалист по охране труда 1 категории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илиала №1 АО «ГК «СЕВЕРАВТОДОР»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shd w:val="clear" w:color="ffffff" w:themeColor="background1" w:fill="ffffff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Супивник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ind w:firstLine="0"/>
              <w:spacing w:after="0" w:afterAutospacing="0" w:line="240" w:lineRule="auto"/>
              <w:shd w:val="clear" w:color="ffffff" w:themeColor="background1" w:fill="ffffff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Николай Николаевич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43" w:type="dxa"/>
            <w:vAlign w:val="top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 «Управление технологического транспорта – Югра»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tcW w:w="3371" w:type="dxa"/>
            <w:vAlign w:val="top"/>
            <w:textDirection w:val="lrTb"/>
            <w:noWrap w:val="false"/>
          </w:tcPr>
          <w:p>
            <w:pPr>
              <w:pStyle w:val="931"/>
              <w:ind w:firstLine="708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Отсутствовали: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029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1"/>
              <w:ind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6043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43" w:type="dxa"/>
            <w:vAlign w:val="top"/>
            <w:textDirection w:val="lrTb"/>
            <w:noWrap w:val="false"/>
          </w:tcPr>
          <w:p>
            <w:pPr>
              <w:pStyle w:val="931"/>
              <w:ind w:right="37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службы ОТ, ПЭБ и БДД ООО «Ситэк-Транс»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Буторина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ind w:firstLine="0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Юлия Владимировна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начальник Территориального отдела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Управления Федеральной службы по надзору</w:t>
              <w:br/>
              <w:t xml:space="preserve">в сфере защиты прав потребителей</w:t>
              <w:br/>
              <w:t xml:space="preserve">и благополучия человека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Ханты-Мансийскому автономному округу - Югре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 г. Нижневартовске, Нижневартовском районе и г. Мегионе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31"/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Ващук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Анатольевич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отделения ОАР и ПБДД отдела Госавтоинспекции УМВД России</w:t>
              <w:br/>
              <w:t xml:space="preserve">по г. Нижневартовску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Землянкин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Федорович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31"/>
              <w:ind w:hanging="48"/>
              <w:jc w:val="center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Нижневартовского территориального объединения работодателей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Кайнара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firstLine="0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Любовь Викторовна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заместитель генерального директора по охране труда, промышленной безопасности и охране окружающей среды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ООО «ПВП «АБС»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7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1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Короткий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firstLine="0"/>
              <w:jc w:val="left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Виталий Григорьевич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29" w:type="dxa"/>
            <w:vAlign w:val="top"/>
            <w:vMerge w:val="restart"/>
            <w:textDirection w:val="lrTb"/>
            <w:noWrap w:val="false"/>
          </w:tcPr>
          <w:p>
            <w:pPr>
              <w:pStyle w:val="931"/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над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зорной деятельности          и профилактической работы по городу Нижневартовску Управления надзорной                 деятельности и профилактической работы Главного управления Министерства Российской Федерации по делам гражданской обороны           и чрезв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ычайным ситуациям и ликвидации последствий стихийных бедствий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Ханты-Мансийскому автономному округу - Югре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931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ПОВЕСТКА ДНЯ: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r>
    </w:p>
    <w:p>
      <w:pPr>
        <w:pStyle w:val="931"/>
        <w:numPr>
          <w:ilvl w:val="0"/>
          <w:numId w:val="40"/>
        </w:numPr>
        <w:ind w:left="0" w:firstLine="567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Анализ производственного травматизма на территории города Нижневартовска за 2025 год и за первое полугодие 2026 года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567"/>
        <w:spacing w:after="0" w:line="240" w:lineRule="auto"/>
        <w:tabs>
          <w:tab w:val="left" w:pos="5892" w:leader="none"/>
        </w:tabs>
        <w:rPr>
          <w:rFonts w:ascii="Times New Roman" w:hAnsi="Times New Roman"/>
          <w:sz w:val="28"/>
          <w:szCs w:val="28"/>
        </w:rPr>
        <w:pBdr>
          <w:bottom w:val="single" w:color="000000" w:sz="4" w:space="1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firstLine="56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(М.А. Губанова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left="709"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709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Департаменту экономического развития администрации города                  (Н.П. Брыль) направить в адрес работодателей города анализ производственного травматизма на территории города Нижневартовска</w:t>
        <w:br/>
        <w:t xml:space="preserve">за 2025 год и за первое полугодие 2026 года.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Срок: до 25.06.2026.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left="0" w:right="0" w:firstLine="567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Итоги мониторинга состояния условий и охраны труда</w:t>
        <w:br/>
        <w:t xml:space="preserve">у работодателей, осуществляющих деятельность на территории города Нижневартовска, за 2025 год.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567"/>
        <w:spacing w:after="0" w:line="240" w:lineRule="auto"/>
        <w:tabs>
          <w:tab w:val="left" w:pos="5892" w:leader="none"/>
        </w:tabs>
        <w:rPr>
          <w:rFonts w:ascii="Times New Roman" w:hAnsi="Times New Roman"/>
          <w:sz w:val="28"/>
          <w:szCs w:val="28"/>
        </w:rPr>
        <w:pBdr>
          <w:bottom w:val="single" w:color="000000" w:sz="4" w:space="0"/>
        </w:pBd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firstLine="56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(С.А. Верин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left="709"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2.1. Департаменту экономического развития администрации города                  (Н.П. Брыль):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2.1.1. В 4 квартале 2026 провести серию вебинаров на тему предоставления работодателями информациями о состоянии условий</w:t>
        <w:br/>
        <w:t xml:space="preserve">и охраны труда.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Срок: до 25.12.2026.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2.1.2. Направить в </w:t>
      </w:r>
      <w:r>
        <w:rPr>
          <w:rFonts w:ascii="Times New Roman" w:hAnsi="Times New Roman"/>
          <w:sz w:val="28"/>
          <w:szCs w:val="28"/>
        </w:rPr>
        <w:t xml:space="preserve">отдел надзора и контроля по соблюдению трудового законодательства в организациях города Нижневартовска Государственной инспекции труда Ханты-Мансийского автономного округа – Югры: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-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перечень организаций,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предоставивших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информацию о состоянии условий и охраны труда у работодателей, осуществляющих деятельность</w:t>
        <w:br/>
        <w:t xml:space="preserve">на территории города Нижневартовска,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 численностью работников свыше</w:t>
        <w:br/>
        <w:t xml:space="preserve">50 человек,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 которых отсутствует служба (специалист) по охране труда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перечень организаций, предоставивших информацию о состоянии условий и охраны труда у работодателей, осуществляющих деятельность</w:t>
        <w:br/>
        <w:t xml:space="preserve">на территории города Нижневартовска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, в которых не поводилась специальная оценка условий труда.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до 25.07.2026.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Информация о практической деятельности в области охраны труда руководителей организаций, осуществляющих деятельность                        на территории города, допустивших случаи смертельного и тяжелого травмат</w:t>
      </w:r>
      <w:r>
        <w:rPr>
          <w:rFonts w:ascii="Times New Roman" w:hAnsi="Times New Roman"/>
          <w:b/>
          <w:sz w:val="28"/>
          <w:szCs w:val="28"/>
        </w:rPr>
        <w:t xml:space="preserve">изма работников на производстве.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____________________________________________</w:t>
      </w:r>
      <w:r>
        <w:rPr>
          <w:rFonts w:ascii="Times New Roman" w:hAnsi="Times New Roman"/>
          <w:sz w:val="40"/>
          <w:szCs w:val="40"/>
        </w:rPr>
        <w:t xml:space="preserve">__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931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(Е.Н. Данилова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С.А. Верин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Н.Н. Супивник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firstLine="709"/>
        <w:jc w:val="center"/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709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709"/>
        <w:jc w:val="left"/>
        <w:spacing w:after="0" w:line="240" w:lineRule="auto"/>
        <w:tabs>
          <w:tab w:val="left" w:pos="2988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Рекомендовать: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3.1. Филиалу №1 АО «ГК «СЕВЕРАВТОДОР» (И.Г. Иванов):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3.1.1. Усилить контроль за соблюдением требований охраны труда.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3.1.2. Дополнительно проработать профессиональные риски.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3.1.3.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Рассмотреть вопрос увеличения суммы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финансирования мероприятий по улучшению условий и охраны труда в соответствии</w:t>
        <w:br/>
        <w:t xml:space="preserve">с государственными нормативными требованиями охраны труда.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3.1.4. </w:t>
      </w:r>
      <w:r>
        <w:rPr>
          <w:rFonts w:ascii="Times New Roman" w:hAnsi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/>
          <w:sz w:val="28"/>
          <w:szCs w:val="28"/>
          <w:u w:val="none"/>
          <w:lang w:eastAsia="ru-RU"/>
        </w:rPr>
        <w:t xml:space="preserve">ассмотреть вопрос о создании комитета (комиссии) по охране труда.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3.1.5. Предоставить информацию об исполнении мероприятий</w:t>
        <w:br/>
        <w:t xml:space="preserve">по устранению причин несчастного случая.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3.2. ООО «ПВП «АБС» (В.А. Бачев):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3.2.1. Усилить контроль за соблюдением требований охраны труда.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Усилить контроль за соблюдением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работниками трудового распорядка и дисциплины труда, в том числе во время межсменного отдыха.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pStyle w:val="931"/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Разработать мероприятия по профилактике случаев алкогольного, наркотического и иного токсического опьянения работников.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3.2.4. Предоставить информацию об исполнении мероприятий</w:t>
        <w:br/>
        <w:t xml:space="preserve">по устранению причин несчастного случая.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31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3.3. ООО «Управление технологического транспорта – Югра» (Н.Н. Супивник):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3.3.1. Усилить контроль за соблюдением требований охраны труда.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3.3.2. Дополнительно проработать профессиональные риски.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3.3.3. Принять участие в вебинаре в 4 квартале 2026 года на тему предоставления работодателями информациями о состоянии условий</w:t>
        <w:br/>
        <w:t xml:space="preserve">и охраны труда, организованном департаментом экономического развития администрации 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.3.4. Ежегодно предоставлять в департамент экономического развития администрации города информацию о состоянии условий и охраны труда</w:t>
        <w:br/>
        <w:t xml:space="preserve">в организации во исполнение приказа Департамента труда и занятости населения Ханты-Мансийског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автономного округа – Югры от 16.02.2012 №1-нп «Об утверждении форм и сроков предоставления отчетов…»</w:t>
        <w:br/>
        <w:t xml:space="preserve">не позднее 01 февраля,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tabs>
          <w:tab w:val="left" w:pos="18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3.3.5. Предоставить информацию об исполнении мероприятий</w:t>
        <w:br/>
        <w:t xml:space="preserve">по устранению причин несчастного случая.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firstLine="709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 исполнении решений межведомственной комиссии по охране труда при администрации города от 26.06.2025 №1, 25.11.2025 №2.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31"/>
        <w:ind w:firstLine="709"/>
        <w:spacing w:after="0" w:line="240" w:lineRule="auto"/>
        <w:tabs>
          <w:tab w:val="left" w:pos="1418" w:leader="none"/>
        </w:tabs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Style w:val="931"/>
        <w:ind w:left="0" w:right="0" w:firstLine="709"/>
        <w:jc w:val="left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31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Считать исполненными и снять с контроля 3 поручения протокола комиссии от 26.06.2025 №1. Считать исполненными и снять с контроля</w:t>
        <w:br/>
        <w:t xml:space="preserve">25 поручений протокола комиссии от 25.11.2025 №2.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1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1"/>
        <w:ind w:left="0" w:right="0" w:firstLine="709"/>
        <w:spacing w:after="0" w:line="240" w:lineRule="auto"/>
        <w:tabs>
          <w:tab w:val="left" w:pos="992" w:leader="none"/>
        </w:tabs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епартаменту экономического развития администрации города                  (Н.П. Брыль) направить решение межведомственной комиссии по охране труда при администрации города членам комиссии, руководителям организаций, участвующим в заседании, и разместить на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официальном сайте органов местного самоуправления города Нижневартовска.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/>
    </w:p>
    <w:p>
      <w:pPr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Срок: до 25.06.2026.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1"/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1"/>
        <w:ind w:left="0" w:right="0" w:firstLine="709"/>
        <w:spacing w:after="0" w:line="240" w:lineRule="auto"/>
        <w:tabs>
          <w:tab w:val="left" w:pos="992" w:leader="none"/>
        </w:tabs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6. 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уководителям организаций, участвующим в заседании, направить председателю межведомственной комиссии информацию о рассмотрении рекомендаций межведомственной комиссии по охране труда</w:t>
        <w:br/>
        <w:t xml:space="preserve">при администрации города.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/>
    </w:p>
    <w:p>
      <w:pPr>
        <w:ind w:left="0" w:right="0" w:firstLine="709"/>
        <w:spacing w:after="0" w:line="240" w:lineRule="auto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Срок: до 31.07.2026.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pPr>
      <w:r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r>
      <w:r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r>
      <w:r>
        <w:rPr>
          <w:rFonts w:ascii="Times New Roman" w:hAnsi="Times New Roman"/>
          <w:color w:val="ff0000"/>
          <w:sz w:val="16"/>
          <w:szCs w:val="16"/>
          <w:vertAlign w:val="superscript"/>
          <w:lang w:eastAsia="ru-RU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spacing w:after="0" w:afterAutospacing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аместитель главы города по экономике             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ind w:firstLine="0"/>
        <w:spacing w:after="0" w:afterAutospacing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 финансам, председатель комиссии</w:t>
      </w:r>
      <w:r>
        <w:rPr>
          <w:rFonts w:ascii="Times New Roman" w:hAnsi="Times New Roman"/>
          <w:b/>
          <w:sz w:val="28"/>
          <w:szCs w:val="28"/>
        </w:rPr>
        <w:tab/>
        <w:tab/>
        <w:tab/>
      </w:r>
      <w:r>
        <w:rPr>
          <w:rFonts w:ascii="Times New Roman" w:hAnsi="Times New Roman"/>
          <w:b/>
          <w:sz w:val="28"/>
          <w:szCs w:val="28"/>
        </w:rPr>
        <w:t xml:space="preserve">            И.Н. Мурашко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отдела труда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правления экономики и стратегического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планирования</w:t>
      </w:r>
      <w:r>
        <w:rPr>
          <w:rFonts w:ascii="Times New Roman" w:hAnsi="Times New Roman"/>
          <w:b/>
          <w:sz w:val="28"/>
          <w:szCs w:val="28"/>
        </w:rPr>
        <w:t xml:space="preserve"> департамента экономического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развития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города,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31"/>
        <w:ind w:firstLine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екретарь комиссии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С.А. Верин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306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ndale Sans UI">
    <w:panose1 w:val="02000603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2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04" w:hanging="180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6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6" w:hanging="576"/>
        <w:tabs>
          <w:tab w:val="num" w:pos="93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86" w:hanging="360"/>
        <w:tabs>
          <w:tab w:val="num" w:pos="786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  <w:tabs>
          <w:tab w:val="num" w:pos="150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  <w:tabs>
          <w:tab w:val="num" w:pos="222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  <w:tabs>
          <w:tab w:val="num" w:pos="294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  <w:tabs>
          <w:tab w:val="num" w:pos="366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  <w:tabs>
          <w:tab w:val="num" w:pos="438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  <w:tabs>
          <w:tab w:val="num" w:pos="510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  <w:tabs>
          <w:tab w:val="num" w:pos="582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  <w:tabs>
          <w:tab w:val="num" w:pos="6546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8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8" w:hanging="648"/>
      </w:pPr>
    </w:lvl>
    <w:lvl w:ilvl="1">
      <w:start w:val="5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04" w:hanging="1800"/>
      </w:p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1155"/>
        <w:tabs>
          <w:tab w:val="num" w:pos="151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100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0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8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45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40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04" w:hanging="216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8" w:hanging="828"/>
        <w:tabs>
          <w:tab w:val="num" w:pos="118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4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708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4"/>
  </w:num>
  <w:num w:numId="2">
    <w:abstractNumId w:val="40"/>
  </w:num>
  <w:num w:numId="3">
    <w:abstractNumId w:val="6"/>
  </w:num>
  <w:num w:numId="4">
    <w:abstractNumId w:val="23"/>
  </w:num>
  <w:num w:numId="5">
    <w:abstractNumId w:val="21"/>
  </w:num>
  <w:num w:numId="6">
    <w:abstractNumId w:val="43"/>
  </w:num>
  <w:num w:numId="7">
    <w:abstractNumId w:val="35"/>
  </w:num>
  <w:num w:numId="8">
    <w:abstractNumId w:val="5"/>
  </w:num>
  <w:num w:numId="9">
    <w:abstractNumId w:val="39"/>
  </w:num>
  <w:num w:numId="10">
    <w:abstractNumId w:val="8"/>
  </w:num>
  <w:num w:numId="11">
    <w:abstractNumId w:val="31"/>
  </w:num>
  <w:num w:numId="12">
    <w:abstractNumId w:val="38"/>
  </w:num>
  <w:num w:numId="13">
    <w:abstractNumId w:val="7"/>
  </w:num>
  <w:num w:numId="14">
    <w:abstractNumId w:val="10"/>
  </w:num>
  <w:num w:numId="15">
    <w:abstractNumId w:val="36"/>
  </w:num>
  <w:num w:numId="16">
    <w:abstractNumId w:val="11"/>
  </w:num>
  <w:num w:numId="17">
    <w:abstractNumId w:val="20"/>
  </w:num>
  <w:num w:numId="18">
    <w:abstractNumId w:val="1"/>
  </w:num>
  <w:num w:numId="19">
    <w:abstractNumId w:val="28"/>
  </w:num>
  <w:num w:numId="20">
    <w:abstractNumId w:val="44"/>
  </w:num>
  <w:num w:numId="21">
    <w:abstractNumId w:val="27"/>
  </w:num>
  <w:num w:numId="22">
    <w:abstractNumId w:val="24"/>
  </w:num>
  <w:num w:numId="23">
    <w:abstractNumId w:val="19"/>
  </w:num>
  <w:num w:numId="24">
    <w:abstractNumId w:val="2"/>
  </w:num>
  <w:num w:numId="25">
    <w:abstractNumId w:val="12"/>
  </w:num>
  <w:num w:numId="26">
    <w:abstractNumId w:val="45"/>
  </w:num>
  <w:num w:numId="27">
    <w:abstractNumId w:val="22"/>
  </w:num>
  <w:num w:numId="28">
    <w:abstractNumId w:val="25"/>
  </w:num>
  <w:num w:numId="29">
    <w:abstractNumId w:val="46"/>
  </w:num>
  <w:num w:numId="30">
    <w:abstractNumId w:val="33"/>
  </w:num>
  <w:num w:numId="31">
    <w:abstractNumId w:val="34"/>
  </w:num>
  <w:num w:numId="32">
    <w:abstractNumId w:val="15"/>
  </w:num>
  <w:num w:numId="33">
    <w:abstractNumId w:val="9"/>
  </w:num>
  <w:num w:numId="34">
    <w:abstractNumId w:val="4"/>
  </w:num>
  <w:num w:numId="35">
    <w:abstractNumId w:val="32"/>
  </w:num>
  <w:num w:numId="36">
    <w:abstractNumId w:val="29"/>
  </w:num>
  <w:num w:numId="37">
    <w:abstractNumId w:val="0"/>
  </w:num>
  <w:num w:numId="38">
    <w:abstractNumId w:val="16"/>
  </w:num>
  <w:num w:numId="39">
    <w:abstractNumId w:val="3"/>
  </w:num>
  <w:num w:numId="40">
    <w:abstractNumId w:val="30"/>
  </w:num>
  <w:num w:numId="41">
    <w:abstractNumId w:val="18"/>
  </w:num>
  <w:num w:numId="42">
    <w:abstractNumId w:val="37"/>
  </w:num>
  <w:num w:numId="43">
    <w:abstractNumId w:val="42"/>
  </w:num>
  <w:num w:numId="44">
    <w:abstractNumId w:val="41"/>
  </w:num>
  <w:num w:numId="45">
    <w:abstractNumId w:val="17"/>
  </w:num>
  <w:num w:numId="46">
    <w:abstractNumId w:val="26"/>
  </w:num>
  <w:num w:numId="47">
    <w:abstractNumId w:val="13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>
    <w:name w:val="Heading 1"/>
    <w:basedOn w:val="931"/>
    <w:next w:val="931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4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>
    <w:name w:val="Heading 2"/>
    <w:basedOn w:val="931"/>
    <w:next w:val="931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>
    <w:name w:val="Heading 3"/>
    <w:basedOn w:val="931"/>
    <w:next w:val="931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>
    <w:name w:val="Heading 4"/>
    <w:basedOn w:val="931"/>
    <w:next w:val="931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31"/>
    <w:next w:val="931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31"/>
    <w:next w:val="931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31"/>
    <w:next w:val="931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31"/>
    <w:next w:val="931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31"/>
    <w:next w:val="931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931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31"/>
    <w:next w:val="93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link w:val="773"/>
    <w:uiPriority w:val="10"/>
    <w:rPr>
      <w:sz w:val="48"/>
      <w:szCs w:val="48"/>
    </w:rPr>
  </w:style>
  <w:style w:type="paragraph" w:styleId="775">
    <w:name w:val="Subtitle"/>
    <w:basedOn w:val="931"/>
    <w:next w:val="93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link w:val="775"/>
    <w:uiPriority w:val="11"/>
    <w:rPr>
      <w:sz w:val="24"/>
      <w:szCs w:val="24"/>
    </w:rPr>
  </w:style>
  <w:style w:type="paragraph" w:styleId="777">
    <w:name w:val="Quote"/>
    <w:basedOn w:val="931"/>
    <w:next w:val="931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31"/>
    <w:next w:val="931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paragraph" w:styleId="781">
    <w:name w:val="Header"/>
    <w:basedOn w:val="9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Header Char"/>
    <w:link w:val="781"/>
    <w:uiPriority w:val="99"/>
  </w:style>
  <w:style w:type="paragraph" w:styleId="783">
    <w:name w:val="Footer"/>
    <w:basedOn w:val="93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Footer Char"/>
    <w:link w:val="783"/>
    <w:uiPriority w:val="99"/>
  </w:style>
  <w:style w:type="paragraph" w:styleId="785">
    <w:name w:val="Caption"/>
    <w:basedOn w:val="931"/>
    <w:next w:val="931"/>
    <w:link w:val="7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783"/>
    <w:uiPriority w:val="99"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next w:val="931"/>
    <w:link w:val="931"/>
    <w:qFormat/>
    <w:pPr>
      <w:ind w:firstLine="851"/>
      <w:jc w:val="both"/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932">
    <w:name w:val="Заголовок 1"/>
    <w:basedOn w:val="931"/>
    <w:next w:val="931"/>
    <w:link w:val="9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3">
    <w:name w:val="Заголовок 4"/>
    <w:basedOn w:val="931"/>
    <w:next w:val="931"/>
    <w:link w:val="938"/>
    <w:qFormat/>
    <w:pPr>
      <w:ind w:firstLine="0"/>
      <w:jc w:val="left"/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ru-RU"/>
    </w:rPr>
  </w:style>
  <w:style w:type="character" w:styleId="934">
    <w:name w:val="Основной шрифт абзаца"/>
    <w:next w:val="934"/>
    <w:link w:val="931"/>
    <w:semiHidden/>
  </w:style>
  <w:style w:type="table" w:styleId="935">
    <w:name w:val="Обычная таблица"/>
    <w:next w:val="935"/>
    <w:link w:val="931"/>
    <w:semiHidden/>
    <w:tblPr/>
  </w:style>
  <w:style w:type="numbering" w:styleId="936">
    <w:name w:val="Нет списка"/>
    <w:next w:val="936"/>
    <w:link w:val="931"/>
    <w:semiHidden/>
  </w:style>
  <w:style w:type="character" w:styleId="937">
    <w:name w:val="Заголовок 1 Знак"/>
    <w:next w:val="937"/>
    <w:link w:val="932"/>
    <w:rPr>
      <w:rFonts w:ascii="Arial" w:hAnsi="Arial" w:cs="Arial"/>
      <w:b/>
      <w:bCs/>
      <w:sz w:val="32"/>
      <w:szCs w:val="32"/>
      <w:lang w:val="ru-RU" w:eastAsia="en-US" w:bidi="ar-SA"/>
    </w:rPr>
  </w:style>
  <w:style w:type="character" w:styleId="938">
    <w:name w:val="Заголовок 4 Знак"/>
    <w:next w:val="938"/>
    <w:link w:val="933"/>
    <w:rPr>
      <w:sz w:val="28"/>
      <w:szCs w:val="24"/>
      <w:lang w:val="ru-RU" w:eastAsia="ru-RU" w:bidi="ar-SA"/>
    </w:rPr>
  </w:style>
  <w:style w:type="paragraph" w:styleId="939">
    <w:name w:val="Текст выноски"/>
    <w:basedOn w:val="931"/>
    <w:next w:val="939"/>
    <w:link w:val="931"/>
    <w:semiHidden/>
    <w:rPr>
      <w:rFonts w:ascii="Tahoma" w:hAnsi="Tahoma" w:cs="Tahoma"/>
      <w:sz w:val="16"/>
      <w:szCs w:val="16"/>
    </w:rPr>
  </w:style>
  <w:style w:type="paragraph" w:styleId="940">
    <w:name w:val="Char Знак Знак Char Знак Знак Знак Знак Знак Знак Знак Знак Знак Знак Знак Знак Знак Знак Знак Знак"/>
    <w:basedOn w:val="931"/>
    <w:next w:val="940"/>
    <w:link w:val="931"/>
    <w:pPr>
      <w:ind w:firstLine="0"/>
      <w:jc w:val="left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941">
    <w:name w:val="ConsPlusNonformat"/>
    <w:next w:val="941"/>
    <w:link w:val="93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2">
    <w:name w:val="Основной текст 2"/>
    <w:basedOn w:val="931"/>
    <w:next w:val="942"/>
    <w:link w:val="943"/>
    <w:pPr>
      <w:ind w:firstLine="0"/>
      <w:jc w:val="left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943">
    <w:name w:val="Основной текст 2 Знак"/>
    <w:next w:val="943"/>
    <w:link w:val="942"/>
    <w:rPr>
      <w:sz w:val="28"/>
      <w:szCs w:val="28"/>
    </w:rPr>
  </w:style>
  <w:style w:type="paragraph" w:styleId="944">
    <w:name w:val="Заголовок,Название"/>
    <w:basedOn w:val="931"/>
    <w:next w:val="944"/>
    <w:link w:val="945"/>
    <w:qFormat/>
    <w:pPr>
      <w:ind w:firstLine="0"/>
      <w:jc w:val="center"/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styleId="945">
    <w:name w:val="Название Знак"/>
    <w:next w:val="945"/>
    <w:link w:val="944"/>
    <w:rPr>
      <w:b/>
      <w:bCs/>
      <w:sz w:val="28"/>
      <w:szCs w:val="24"/>
    </w:rPr>
  </w:style>
  <w:style w:type="paragraph" w:styleId="946">
    <w:name w:val="Абзац списка"/>
    <w:basedOn w:val="931"/>
    <w:next w:val="946"/>
    <w:link w:val="931"/>
    <w:uiPriority w:val="34"/>
    <w:qFormat/>
    <w:pPr>
      <w:contextualSpacing/>
      <w:ind w:left="720"/>
    </w:pPr>
  </w:style>
  <w:style w:type="character" w:styleId="947">
    <w:name w:val="Выделение"/>
    <w:next w:val="947"/>
    <w:link w:val="931"/>
    <w:uiPriority w:val="20"/>
    <w:qFormat/>
  </w:style>
  <w:style w:type="paragraph" w:styleId="948">
    <w:name w:val="Верхний колонтитул"/>
    <w:basedOn w:val="931"/>
    <w:next w:val="948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949">
    <w:name w:val="Верхний колонтитул Знак"/>
    <w:next w:val="949"/>
    <w:link w:val="948"/>
    <w:uiPriority w:val="99"/>
    <w:rPr>
      <w:rFonts w:ascii="Calibri" w:hAnsi="Calibri"/>
      <w:sz w:val="22"/>
      <w:szCs w:val="22"/>
      <w:lang w:eastAsia="en-US"/>
    </w:rPr>
  </w:style>
  <w:style w:type="paragraph" w:styleId="950">
    <w:name w:val="Нижний колонтитул"/>
    <w:basedOn w:val="931"/>
    <w:next w:val="950"/>
    <w:link w:val="951"/>
    <w:uiPriority w:val="99"/>
    <w:pPr>
      <w:tabs>
        <w:tab w:val="center" w:pos="4677" w:leader="none"/>
        <w:tab w:val="right" w:pos="9355" w:leader="none"/>
      </w:tabs>
    </w:pPr>
  </w:style>
  <w:style w:type="character" w:styleId="951">
    <w:name w:val="Нижний колонтитул Знак"/>
    <w:next w:val="951"/>
    <w:link w:val="950"/>
    <w:uiPriority w:val="99"/>
    <w:rPr>
      <w:rFonts w:ascii="Calibri" w:hAnsi="Calibri"/>
      <w:sz w:val="22"/>
      <w:szCs w:val="22"/>
      <w:lang w:eastAsia="en-US"/>
    </w:rPr>
  </w:style>
  <w:style w:type="character" w:styleId="952">
    <w:name w:val="Гиперссылка"/>
    <w:next w:val="952"/>
    <w:link w:val="931"/>
    <w:rPr>
      <w:color w:val="0000ff"/>
      <w:u w:val="single"/>
    </w:rPr>
  </w:style>
  <w:style w:type="paragraph" w:styleId="953">
    <w:name w:val="Основной текст с отступом"/>
    <w:basedOn w:val="931"/>
    <w:next w:val="953"/>
    <w:link w:val="954"/>
    <w:pPr>
      <w:ind w:left="283" w:firstLine="0"/>
      <w:jc w:val="left"/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54">
    <w:name w:val="Основной текст с отступом Знак"/>
    <w:next w:val="954"/>
    <w:link w:val="953"/>
    <w:rPr>
      <w:sz w:val="24"/>
      <w:szCs w:val="24"/>
    </w:rPr>
  </w:style>
  <w:style w:type="paragraph" w:styleId="955">
    <w:name w:val="Основной текст с отступом 2"/>
    <w:basedOn w:val="931"/>
    <w:next w:val="955"/>
    <w:link w:val="956"/>
    <w:uiPriority w:val="99"/>
    <w:unhideWhenUsed/>
    <w:pPr>
      <w:ind w:left="283" w:firstLine="0"/>
      <w:jc w:val="left"/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styleId="956">
    <w:name w:val="Основной текст с отступом 2 Знак"/>
    <w:next w:val="956"/>
    <w:link w:val="955"/>
    <w:uiPriority w:val="99"/>
    <w:rPr>
      <w:sz w:val="24"/>
      <w:szCs w:val="24"/>
    </w:rPr>
  </w:style>
  <w:style w:type="paragraph" w:styleId="957">
    <w:name w:val="ConsPlusTitle"/>
    <w:next w:val="957"/>
    <w:link w:val="931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58">
    <w:name w:val="Основной текст"/>
    <w:basedOn w:val="931"/>
    <w:next w:val="958"/>
    <w:link w:val="959"/>
    <w:pPr>
      <w:spacing w:after="120"/>
    </w:pPr>
  </w:style>
  <w:style w:type="character" w:styleId="959">
    <w:name w:val="Основной текст Знак"/>
    <w:next w:val="959"/>
    <w:link w:val="958"/>
    <w:rPr>
      <w:rFonts w:ascii="Calibri" w:hAnsi="Calibri"/>
      <w:sz w:val="22"/>
      <w:szCs w:val="22"/>
      <w:lang w:eastAsia="en-US"/>
    </w:rPr>
  </w:style>
  <w:style w:type="character" w:styleId="960">
    <w:name w:val="Body Text Indent Char"/>
    <w:next w:val="960"/>
    <w:link w:val="931"/>
    <w:rPr>
      <w:rFonts w:ascii="Times New Roman" w:hAnsi="Times New Roman" w:cs="Times New Roman"/>
      <w:sz w:val="24"/>
      <w:szCs w:val="24"/>
      <w:lang w:val="en-US" w:eastAsia="ru-RU"/>
    </w:rPr>
  </w:style>
  <w:style w:type="paragraph" w:styleId="961">
    <w:name w:val="Основной текст 3"/>
    <w:basedOn w:val="931"/>
    <w:next w:val="961"/>
    <w:link w:val="962"/>
    <w:pPr>
      <w:ind w:firstLine="0"/>
      <w:spacing w:after="0" w:line="240" w:lineRule="auto"/>
    </w:pPr>
    <w:rPr>
      <w:rFonts w:ascii="Times New Roman" w:hAnsi="Times New Roman" w:eastAsia="Calibri"/>
      <w:bCs/>
      <w:sz w:val="28"/>
      <w:szCs w:val="24"/>
      <w:lang w:eastAsia="ru-RU"/>
    </w:rPr>
  </w:style>
  <w:style w:type="character" w:styleId="962">
    <w:name w:val="Основной текст 3 Знак"/>
    <w:next w:val="962"/>
    <w:link w:val="961"/>
    <w:rPr>
      <w:rFonts w:eastAsia="Calibri"/>
      <w:bCs/>
      <w:sz w:val="28"/>
      <w:szCs w:val="24"/>
      <w:lang w:val="ru-RU" w:eastAsia="ru-RU" w:bidi="ar-SA"/>
    </w:rPr>
  </w:style>
  <w:style w:type="paragraph" w:styleId="963">
    <w:name w:val="Знак Знак Знак Знак Знак Знак Знак Знак Знак Знак Знак Знак Знак"/>
    <w:basedOn w:val="931"/>
    <w:next w:val="963"/>
    <w:link w:val="931"/>
    <w:pPr>
      <w:ind w:firstLine="0"/>
      <w:jc w:val="left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964">
    <w:name w:val="Без интервала"/>
    <w:next w:val="964"/>
    <w:link w:val="93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65">
    <w:name w:val="Обычный (веб)"/>
    <w:basedOn w:val="931"/>
    <w:next w:val="965"/>
    <w:link w:val="931"/>
    <w:uiPriority w:val="99"/>
    <w:pPr>
      <w:ind w:firstLine="0"/>
      <w:jc w:val="left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66">
    <w:name w:val="Text body"/>
    <w:basedOn w:val="931"/>
    <w:next w:val="966"/>
    <w:link w:val="931"/>
    <w:pPr>
      <w:ind w:firstLine="0"/>
      <w:jc w:val="left"/>
      <w:spacing w:after="120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paragraph" w:styleId="967">
    <w:name w:val="Char Char Char Знак"/>
    <w:basedOn w:val="931"/>
    <w:next w:val="931"/>
    <w:link w:val="931"/>
    <w:pPr>
      <w:ind w:firstLine="0"/>
      <w:jc w:val="left"/>
      <w:spacing w:after="160" w:line="240" w:lineRule="exact"/>
    </w:pPr>
    <w:rPr>
      <w:rFonts w:ascii="Tahoma" w:hAnsi="Tahoma"/>
      <w:color w:val="ff0000"/>
      <w:sz w:val="24"/>
      <w:szCs w:val="20"/>
      <w:lang w:val="en-GB"/>
    </w:rPr>
  </w:style>
  <w:style w:type="paragraph" w:styleId="968">
    <w:name w:val="Стандартный HTML"/>
    <w:basedOn w:val="931"/>
    <w:next w:val="968"/>
    <w:link w:val="969"/>
    <w:uiPriority w:val="99"/>
    <w:unhideWhenUsed/>
    <w:pPr>
      <w:ind w:firstLine="0"/>
      <w:jc w:val="left"/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69">
    <w:name w:val="Стандартный HTML Знак"/>
    <w:next w:val="969"/>
    <w:link w:val="968"/>
    <w:uiPriority w:val="99"/>
    <w:rPr>
      <w:rFonts w:ascii="Courier New" w:hAnsi="Courier New" w:cs="Courier New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06 от 27</dc:title>
  <dc:creator>Оршак</dc:creator>
  <cp:lastModifiedBy>chernyshevaes</cp:lastModifiedBy>
  <cp:revision>24</cp:revision>
  <dcterms:created xsi:type="dcterms:W3CDTF">2023-05-04T05:03:00Z</dcterms:created>
  <dcterms:modified xsi:type="dcterms:W3CDTF">2026-06-17T07:51:19Z</dcterms:modified>
  <cp:version>917504</cp:version>
</cp:coreProperties>
</file>