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left="0" w:right="0" w:firstLine="708"/>
        <w:jc w:val="right"/>
        <w:spacing w:before="0" w:after="0"/>
      </w:pPr>
      <w:r>
        <w:rPr>
          <w:rFonts w:ascii="Tinos" w:hAnsi="Tinos" w:cs="Tinos"/>
          <w:sz w:val="27"/>
          <w:szCs w:val="27"/>
        </w:rPr>
        <w:t xml:space="preserve">Приложение </w:t>
      </w:r>
      <w:r>
        <w:rPr>
          <w:rFonts w:ascii="Tinos" w:hAnsi="Tinos" w:cs="Tinos"/>
          <w:sz w:val="27"/>
          <w:szCs w:val="27"/>
        </w:rPr>
        <w:t xml:space="preserve">4 к протоколу</w:t>
      </w:r>
      <w:r>
        <w:rPr>
          <w:rFonts w:ascii="Tinos" w:hAnsi="Tinos" w:cs="Tinos"/>
          <w:sz w:val="27"/>
          <w:szCs w:val="27"/>
        </w:rPr>
      </w:r>
      <w:r/>
    </w:p>
    <w:p>
      <w:pPr>
        <w:pStyle w:val="600"/>
        <w:ind w:left="0" w:right="0" w:firstLine="708"/>
        <w:jc w:val="right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</w:pP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заседания Совета по вопросам развития инвестиционной 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</w:r>
      <w:r/>
    </w:p>
    <w:p>
      <w:pPr>
        <w:jc w:val="right"/>
        <w:spacing w:before="0" w:after="0"/>
        <w:rPr>
          <w:rFonts w:ascii="Times New Roman" w:hAnsi="Times New Roman"/>
          <w:b/>
          <w:bCs/>
        </w:rPr>
      </w:pP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деятельности в городе Нижневартовске от 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27.10.2022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 №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33</w:t>
      </w:r>
      <w:r/>
      <w:r>
        <w:rPr>
          <w:rFonts w:ascii="Times New Roman" w:hAnsi="Times New Roman"/>
          <w:b/>
          <w:bCs/>
          <w:sz w:val="28"/>
          <w:szCs w:val="27"/>
          <w:highlight w:val="none"/>
        </w:rPr>
      </w:r>
      <w:r>
        <w:rPr>
          <w:rFonts w:ascii="Times New Roman" w:hAnsi="Times New Roman"/>
          <w:b/>
          <w:bCs/>
          <w:sz w:val="28"/>
          <w:szCs w:val="27"/>
          <w:highlight w:val="none"/>
        </w:rPr>
      </w:r>
    </w:p>
    <w:p>
      <w:pPr>
        <w:jc w:val="center"/>
        <w:spacing w:before="0" w:after="0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7"/>
          <w:highlight w:val="none"/>
        </w:rPr>
      </w:r>
      <w:r>
        <w:rPr>
          <w:rFonts w:ascii="Times New Roman" w:hAnsi="Times New Roman"/>
          <w:b/>
          <w:bCs/>
          <w:sz w:val="28"/>
          <w:szCs w:val="27"/>
          <w:highlight w:val="none"/>
        </w:rPr>
      </w:r>
    </w:p>
    <w:p>
      <w:pPr>
        <w:pStyle w:val="600"/>
        <w:jc w:val="center"/>
        <w:spacing w:before="0" w:after="0"/>
      </w:pPr>
      <w:r>
        <w:rPr>
          <w:rFonts w:ascii="Times New Roman" w:hAnsi="Times New Roman"/>
          <w:b/>
          <w:sz w:val="28"/>
        </w:rPr>
        <w:t xml:space="preserve">Рассмотрение актов о результатах контроля за соблюдением концессионерами условий концессионных соглашений</w:t>
      </w:r>
      <w:r/>
    </w:p>
    <w:p>
      <w:pPr>
        <w:pStyle w:val="600"/>
        <w:jc w:val="both"/>
        <w:spacing w:before="0" w:after="0" w:line="240" w:lineRule="auto"/>
        <w:widowControl w:val="off"/>
      </w:pPr>
      <w:r/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sz w:val="28"/>
          <w:szCs w:val="27"/>
        </w:rPr>
        <w:t xml:space="preserve">Докладчик: </w:t>
      </w:r>
      <w:r>
        <w:rPr>
          <w:rFonts w:ascii="Tinos" w:hAnsi="Tinos" w:eastAsia="Times New Roman"/>
          <w:b w:val="0"/>
          <w:bCs w:val="0"/>
          <w:i/>
          <w:color w:val="000000"/>
          <w:sz w:val="28"/>
          <w:szCs w:val="27"/>
          <w:shd w:val="clear" w:color="auto" w:fill="auto"/>
          <w:lang w:val="ru-RU" w:eastAsia="ru-RU" w:bidi="ar-SA"/>
        </w:rPr>
        <w:t xml:space="preserve">Ситников Виктор Петрович</w:t>
      </w:r>
      <w:r>
        <w:rPr>
          <w:rFonts w:ascii="Tinos" w:hAnsi="Tinos" w:eastAsia="Times New Roman"/>
          <w:b w:val="0"/>
          <w:bCs w:val="0"/>
          <w:i/>
          <w:color w:val="000000"/>
          <w:sz w:val="28"/>
          <w:szCs w:val="27"/>
          <w:shd w:val="clear" w:color="auto" w:fill="auto"/>
          <w:lang w:val="ru-RU" w:eastAsia="zh-CN" w:bidi="ar-SA"/>
        </w:rPr>
        <w:t xml:space="preserve">, заместитель главы города, директор департамента строительства администрации города</w:t>
      </w:r>
      <w:r>
        <w:rPr>
          <w:rFonts w:ascii="Times New Roman" w:hAnsi="Times New Roman"/>
          <w:bCs/>
          <w:i/>
          <w:sz w:val="28"/>
          <w:szCs w:val="27"/>
        </w:rPr>
        <w:t xml:space="preserve">.</w:t>
      </w:r>
      <w:r/>
    </w:p>
    <w:p>
      <w:pPr>
        <w:pStyle w:val="600"/>
        <w:jc w:val="center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законом о концессионных соглашениях (№115-ФЗ) и условиями заключенных концессионных соглашений концедент на регулярной основе осуществляет контроль исполнения концессионных соглашений.</w:t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/>
          <w:b/>
          <w:bCs/>
          <w:sz w:val="28"/>
        </w:rPr>
        <w:t xml:space="preserve">27.06.2022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0"/>
          <w:lang w:val="ru-RU" w:eastAsia="ru-RU" w:bidi="ar-SA"/>
        </w:rPr>
        <w:t xml:space="preserve">проведена проверка</w:t>
      </w:r>
      <w:r>
        <w:rPr>
          <w:rFonts w:ascii="Times New Roman" w:hAnsi="Times New Roman"/>
          <w:b w:val="0"/>
          <w:bCs w:val="0"/>
          <w:sz w:val="28"/>
        </w:rPr>
        <w:t xml:space="preserve"> исполнени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0"/>
          <w:lang w:val="ru-RU" w:eastAsia="ru-RU" w:bidi="ar-SA"/>
        </w:rPr>
        <w:t xml:space="preserve">я</w:t>
      </w:r>
      <w:r>
        <w:rPr>
          <w:rFonts w:ascii="Times New Roman" w:hAnsi="Times New Roman"/>
          <w:b w:val="0"/>
          <w:bCs w:val="0"/>
          <w:sz w:val="28"/>
        </w:rPr>
        <w:t xml:space="preserve"> концессионером ООО «Нижневартовские коммунальные системы» условий концессионного соглашения в отношении централизованных систем холодного водоснабжения и водоотведения, отдельных объектов таких систем.</w:t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Согласно концессионному соглашению контрольные мероприятия осуществляются ежегодно по итогам календарного года.</w:t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В ходе проверки выявлено невыполнение концессионером части мероприятий, предусмотренных концессионным соглашением. </w:t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В 2021 году концессионером выполнено 5 мероприятий по созданию, реконструкции объектов на общую сумму 40,49 млн. руб. (без НДС), что составляет 16% от плана, из них: 2 - в сфере водоснабжения, 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val="ru-RU" w:eastAsia="ru-RU" w:bidi="ar-SA"/>
        </w:rPr>
        <w:t xml:space="preserve">3</w:t>
      </w:r>
      <w:r>
        <w:rPr>
          <w:rFonts w:ascii="Times New Roman" w:hAnsi="Times New Roman"/>
          <w:sz w:val="28"/>
        </w:rPr>
        <w:t xml:space="preserve"> - в сфере водоотведения. 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</w:rPr>
        <w:t xml:space="preserve">Концессионером не достигнуты плановые показатели надежности, качества и энергетической эффективности.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29.08.2022</w:t>
      </w:r>
      <w:r>
        <w:rPr>
          <w:rFonts w:ascii="Times New Roman" w:hAnsi="Times New Roman"/>
          <w:sz w:val="28"/>
        </w:rPr>
        <w:t xml:space="preserve"> проведена проверка исполнения концессионером ООО «</w:t>
      </w:r>
      <w:r>
        <w:rPr>
          <w:rFonts w:ascii="Times New Roman" w:hAnsi="Times New Roman"/>
          <w:sz w:val="28"/>
        </w:rPr>
        <w:t xml:space="preserve">Социальная инфраструктура» условий концессионного соглашения по созданию и эксплуатации объекта образования «Общеобразовательная школа на 1125 учащихся в квартале №25 г. Нижневартовска (Общеобразовательная организация с универсальной безбарьерной средой)».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данному соглашению контрольные мероприятия осуществляются ежеквартально.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проверки: соблюдение сроков создания объекта, выполнение работ по строительству, оснащению объекта.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проверки, к</w:t>
      </w:r>
      <w:bookmarkStart w:id="0" w:name="_GoBack"/>
      <w:r/>
      <w:bookmarkEnd w:id="0"/>
      <w:r>
        <w:rPr>
          <w:rFonts w:ascii="Times New Roman" w:hAnsi="Times New Roman"/>
          <w:sz w:val="28"/>
        </w:rPr>
        <w:t xml:space="preserve">онцедентом установлено нарушение срока создания объекта. По информации концессионера планируемый срок ввода объекта – первый квартал 2023 года.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Готовность объекта на дату подписания акта о результатах контроля составляла 57%, на сегодняшний день – 70,8%. </w:t>
      </w:r>
      <w:r/>
    </w:p>
    <w:p>
      <w:pPr>
        <w:pStyle w:val="600"/>
        <w:contextualSpacing/>
        <w:ind w:firstLine="709"/>
        <w:jc w:val="both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В связи с невыполнением концессионер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val="ru-RU" w:eastAsia="ru-RU" w:bidi="ar-SA"/>
        </w:rPr>
        <w:t xml:space="preserve">ами</w:t>
      </w:r>
      <w:r>
        <w:rPr>
          <w:rFonts w:ascii="Times New Roman" w:hAnsi="Times New Roman"/>
          <w:sz w:val="28"/>
        </w:rPr>
        <w:t xml:space="preserve"> условий концессионного соглашения концедентом 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val="ru-RU" w:eastAsia="ru-RU" w:bidi="ar-SA"/>
        </w:rPr>
        <w:t xml:space="preserve">проводится работа по досудебному порядку урегулирования спора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pStyle w:val="600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z w:val="28"/>
          <w:szCs w:val="20"/>
          <w:lang w:val="ru-RU" w:eastAsia="ru-RU" w:bidi="ar-SA"/>
        </w:rPr>
        <w:t xml:space="preserve">А</w:t>
      </w:r>
      <w:r>
        <w:rPr>
          <w:rFonts w:ascii="Times New Roman" w:hAnsi="Times New Roman"/>
          <w:sz w:val="28"/>
        </w:rPr>
        <w:t xml:space="preserve">кты о результатах контроля размещены на официальном сайте и Инвестиционном портале города Нижневартовска. </w:t>
      </w:r>
      <w:r/>
    </w:p>
    <w:sectPr>
      <w:footnotePr/>
      <w:endnotePr/>
      <w:type w:val="nextPage"/>
      <w:pgSz w:w="11906" w:h="16838" w:orient="portrait"/>
      <w:pgMar w:top="1190" w:right="476" w:bottom="8" w:left="1395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Segoe UI">
    <w:panose1 w:val="020B0502040504020204"/>
  </w:font>
  <w:font w:name="Liberation Sans">
    <w:panose1 w:val="020B0604020202020204"/>
  </w:font>
  <w:font w:name="XO Thames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03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33"/>
    <w:uiPriority w:val="99"/>
    <w:unhideWhenUsed/>
    <w:rPr>
      <w:vertAlign w:val="superscript"/>
    </w:rPr>
  </w:style>
  <w:style w:type="character" w:styleId="179">
    <w:name w:val="endnote reference"/>
    <w:basedOn w:val="633"/>
    <w:uiPriority w:val="99"/>
    <w:semiHidden/>
    <w:unhideWhenUsed/>
    <w:rPr>
      <w:vertAlign w:val="superscript"/>
    </w:rPr>
  </w:style>
  <w:style w:type="paragraph" w:styleId="600" w:default="1">
    <w:name w:val="Normal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HAnsi" w:hAnsiTheme="minorHAnsi"/>
      <w:color w:val="000000"/>
      <w:sz w:val="22"/>
      <w:szCs w:val="20"/>
      <w:lang w:val="ru-RU" w:eastAsia="ru-RU" w:bidi="ar-SA"/>
    </w:rPr>
  </w:style>
  <w:style w:type="paragraph" w:styleId="601">
    <w:name w:val="Heading 1"/>
    <w:uiPriority w:val="9"/>
    <w:qFormat/>
    <w:pPr>
      <w:jc w:val="left"/>
      <w:spacing w:before="120" w:after="120"/>
      <w:widowControl/>
      <w:outlineLvl w:val="0"/>
    </w:pPr>
    <w:rPr>
      <w:rFonts w:ascii="XO Thames" w:hAnsi="XO Thames" w:eastAsia="Times New Roman" w:cs="Times New Roman"/>
      <w:b/>
      <w:color w:val="000000"/>
      <w:sz w:val="32"/>
      <w:szCs w:val="20"/>
      <w:lang w:val="ru-RU" w:eastAsia="ru-RU" w:bidi="ar-SA"/>
    </w:rPr>
  </w:style>
  <w:style w:type="paragraph" w:styleId="602">
    <w:name w:val="Heading 2"/>
    <w:uiPriority w:val="9"/>
    <w:qFormat/>
    <w:pPr>
      <w:jc w:val="left"/>
      <w:spacing w:before="120" w:after="120"/>
      <w:widowControl/>
      <w:outlineLvl w:val="1"/>
    </w:pPr>
    <w:rPr>
      <w:rFonts w:ascii="XO Thames" w:hAnsi="XO Thames" w:eastAsia="Times New Roman" w:cs="Times New Roman"/>
      <w:b/>
      <w:color w:val="00a0ff"/>
      <w:sz w:val="26"/>
      <w:szCs w:val="20"/>
      <w:lang w:val="ru-RU" w:eastAsia="ru-RU" w:bidi="ar-SA"/>
    </w:rPr>
  </w:style>
  <w:style w:type="paragraph" w:styleId="603">
    <w:name w:val="Heading 3"/>
    <w:basedOn w:val="676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604">
    <w:name w:val="Heading 4"/>
    <w:uiPriority w:val="9"/>
    <w:qFormat/>
    <w:pPr>
      <w:jc w:val="left"/>
      <w:spacing w:before="120" w:after="120"/>
      <w:widowControl/>
      <w:outlineLvl w:val="3"/>
    </w:pPr>
    <w:rPr>
      <w:rFonts w:ascii="XO Thames" w:hAnsi="XO Thames" w:eastAsia="Times New Roman" w:cs="Times New Roman"/>
      <w:b/>
      <w:color w:val="595959"/>
      <w:sz w:val="26"/>
      <w:szCs w:val="20"/>
      <w:lang w:val="ru-RU" w:eastAsia="ru-RU" w:bidi="ar-SA"/>
    </w:rPr>
  </w:style>
  <w:style w:type="paragraph" w:styleId="605">
    <w:name w:val="Heading 5"/>
    <w:uiPriority w:val="9"/>
    <w:qFormat/>
    <w:pPr>
      <w:jc w:val="left"/>
      <w:spacing w:before="120" w:after="120"/>
      <w:widowControl/>
      <w:outlineLvl w:val="4"/>
    </w:pPr>
    <w:rPr>
      <w:rFonts w:ascii="XO Thames" w:hAnsi="XO Thames" w:eastAsia="Times New Roman" w:cs="Times New Roman"/>
      <w:b/>
      <w:color w:val="000000"/>
      <w:sz w:val="22"/>
      <w:szCs w:val="20"/>
      <w:lang w:val="ru-RU" w:eastAsia="ru-RU" w:bidi="ar-SA"/>
    </w:rPr>
  </w:style>
  <w:style w:type="paragraph" w:styleId="606">
    <w:name w:val="Heading 6"/>
    <w:basedOn w:val="6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07">
    <w:name w:val="Heading 7"/>
    <w:basedOn w:val="6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08">
    <w:name w:val="Heading 8"/>
    <w:basedOn w:val="6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09">
    <w:name w:val="Heading 9"/>
    <w:basedOn w:val="6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10">
    <w:name w:val="Heading 1 Char"/>
    <w:basedOn w:val="633"/>
    <w:uiPriority w:val="9"/>
    <w:qFormat/>
    <w:rPr>
      <w:rFonts w:ascii="Arial" w:hAnsi="Arial" w:eastAsia="Arial" w:cs="Arial"/>
      <w:sz w:val="40"/>
      <w:szCs w:val="40"/>
    </w:rPr>
  </w:style>
  <w:style w:type="character" w:styleId="611">
    <w:name w:val="Heading 2 Char"/>
    <w:basedOn w:val="633"/>
    <w:uiPriority w:val="9"/>
    <w:qFormat/>
    <w:rPr>
      <w:rFonts w:ascii="Arial" w:hAnsi="Arial" w:eastAsia="Arial" w:cs="Arial"/>
      <w:sz w:val="34"/>
    </w:rPr>
  </w:style>
  <w:style w:type="character" w:styleId="612">
    <w:name w:val="Heading 3 Char"/>
    <w:basedOn w:val="633"/>
    <w:uiPriority w:val="9"/>
    <w:qFormat/>
    <w:rPr>
      <w:rFonts w:ascii="Arial" w:hAnsi="Arial" w:eastAsia="Arial" w:cs="Arial"/>
      <w:sz w:val="30"/>
      <w:szCs w:val="30"/>
    </w:rPr>
  </w:style>
  <w:style w:type="character" w:styleId="613">
    <w:name w:val="Heading 4 Char"/>
    <w:basedOn w:val="63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14">
    <w:name w:val="Heading 5 Char"/>
    <w:basedOn w:val="63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5">
    <w:name w:val="Heading 6 Char"/>
    <w:basedOn w:val="63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16">
    <w:name w:val="Heading 7 Char"/>
    <w:basedOn w:val="63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17">
    <w:name w:val="Heading 8 Char"/>
    <w:basedOn w:val="63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18">
    <w:name w:val="Heading 9 Char"/>
    <w:basedOn w:val="63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19">
    <w:name w:val="Title Char"/>
    <w:basedOn w:val="633"/>
    <w:uiPriority w:val="10"/>
    <w:qFormat/>
    <w:rPr>
      <w:sz w:val="48"/>
      <w:szCs w:val="48"/>
    </w:rPr>
  </w:style>
  <w:style w:type="character" w:styleId="620">
    <w:name w:val="Subtitle Char"/>
    <w:basedOn w:val="633"/>
    <w:uiPriority w:val="11"/>
    <w:qFormat/>
    <w:rPr>
      <w:sz w:val="24"/>
      <w:szCs w:val="24"/>
    </w:rPr>
  </w:style>
  <w:style w:type="character" w:styleId="621">
    <w:name w:val="Quote Char"/>
    <w:uiPriority w:val="29"/>
    <w:qFormat/>
    <w:rPr>
      <w:i/>
    </w:rPr>
  </w:style>
  <w:style w:type="character" w:styleId="622">
    <w:name w:val="Intense Quote Char"/>
    <w:uiPriority w:val="30"/>
    <w:qFormat/>
    <w:rPr>
      <w:i/>
    </w:rPr>
  </w:style>
  <w:style w:type="character" w:styleId="623">
    <w:name w:val="Header Char"/>
    <w:basedOn w:val="633"/>
    <w:uiPriority w:val="99"/>
    <w:qFormat/>
  </w:style>
  <w:style w:type="character" w:styleId="624">
    <w:name w:val="Footer Char"/>
    <w:basedOn w:val="633"/>
    <w:uiPriority w:val="99"/>
    <w:qFormat/>
  </w:style>
  <w:style w:type="character" w:styleId="625">
    <w:name w:val="Caption Char"/>
    <w:uiPriority w:val="99"/>
    <w:qFormat/>
  </w:style>
  <w:style w:type="character" w:styleId="626" w:customStyle="1">
    <w:name w:val="Интернет-ссылка"/>
    <w:rPr>
      <w:color w:val="0000ff"/>
      <w:u w:val="single"/>
    </w:rPr>
  </w:style>
  <w:style w:type="character" w:styleId="627">
    <w:name w:val="Footnote Text Char"/>
    <w:uiPriority w:val="99"/>
    <w:qFormat/>
    <w:rPr>
      <w:sz w:val="18"/>
    </w:rPr>
  </w:style>
  <w:style w:type="character" w:styleId="628">
    <w:name w:val="Привязка сноски"/>
    <w:rPr>
      <w:vertAlign w:val="superscript"/>
    </w:rPr>
  </w:style>
  <w:style w:type="character" w:styleId="629">
    <w:name w:val="Footnote Characters"/>
    <w:uiPriority w:val="99"/>
    <w:unhideWhenUsed/>
    <w:qFormat/>
    <w:rPr>
      <w:vertAlign w:val="superscript"/>
    </w:rPr>
  </w:style>
  <w:style w:type="character" w:styleId="630">
    <w:name w:val="Endnote Text Char"/>
    <w:uiPriority w:val="99"/>
    <w:qFormat/>
    <w:rPr>
      <w:sz w:val="20"/>
    </w:rPr>
  </w:style>
  <w:style w:type="character" w:styleId="631">
    <w:name w:val="Привязка концевой сноски"/>
    <w:rPr>
      <w:vertAlign w:val="superscript"/>
    </w:rPr>
  </w:style>
  <w:style w:type="character" w:styleId="632">
    <w:name w:val="Endnote Characters"/>
    <w:uiPriority w:val="99"/>
    <w:semiHidden/>
    <w:unhideWhenUsed/>
    <w:qFormat/>
    <w:rPr>
      <w:vertAlign w:val="superscript"/>
    </w:rPr>
  </w:style>
  <w:style w:type="character" w:styleId="633" w:default="1">
    <w:name w:val="Default Paragraph Font"/>
    <w:uiPriority w:val="1"/>
    <w:semiHidden/>
    <w:unhideWhenUsed/>
    <w:qFormat/>
  </w:style>
  <w:style w:type="character" w:styleId="634" w:customStyle="1">
    <w:name w:val="Заголовок 1 Знак1"/>
    <w:qFormat/>
    <w:rPr>
      <w:rFonts w:ascii="Calibri" w:hAnsi="Calibri" w:asciiTheme="minorHAnsi" w:hAnsiTheme="minorHAnsi"/>
      <w:color w:val="000000"/>
      <w:sz w:val="22"/>
    </w:rPr>
  </w:style>
  <w:style w:type="character" w:styleId="635" w:customStyle="1">
    <w:name w:val="Оглавление 2 Знак"/>
    <w:qFormat/>
  </w:style>
  <w:style w:type="character" w:styleId="636" w:customStyle="1">
    <w:name w:val="Название объекта Знак"/>
    <w:basedOn w:val="634"/>
    <w:qFormat/>
    <w:rPr>
      <w:rFonts w:ascii="Calibri" w:hAnsi="Calibri" w:asciiTheme="minorHAnsi" w:hAnsiTheme="minorHAnsi"/>
      <w:i/>
      <w:color w:val="000000"/>
      <w:sz w:val="24"/>
    </w:rPr>
  </w:style>
  <w:style w:type="character" w:styleId="637" w:customStyle="1">
    <w:name w:val="Оглавление 4 Знак"/>
    <w:qFormat/>
  </w:style>
  <w:style w:type="character" w:styleId="638" w:customStyle="1">
    <w:name w:val="Оглавление 6 Знак"/>
    <w:qFormat/>
  </w:style>
  <w:style w:type="character" w:styleId="639" w:customStyle="1">
    <w:name w:val="Оглавление 7 Знак"/>
    <w:qFormat/>
  </w:style>
  <w:style w:type="character" w:styleId="640" w:customStyle="1">
    <w:name w:val="Оглавление 3 Знак1"/>
    <w:qFormat/>
    <w:rPr>
      <w:rFonts w:ascii="Liberation Sans" w:hAnsi="Liberation Sans"/>
      <w:b/>
      <w:color w:val="000000"/>
      <w:sz w:val="28"/>
    </w:rPr>
  </w:style>
  <w:style w:type="character" w:styleId="641" w:customStyle="1">
    <w:name w:val="Оглавление 3 Знак"/>
    <w:qFormat/>
  </w:style>
  <w:style w:type="character" w:styleId="642" w:customStyle="1">
    <w:name w:val="Оглавление 5 Знак1"/>
    <w:qFormat/>
    <w:rPr>
      <w:rFonts w:ascii="XO Thames" w:hAnsi="XO Thames"/>
      <w:b/>
      <w:color w:val="000000"/>
      <w:sz w:val="22"/>
    </w:rPr>
  </w:style>
  <w:style w:type="character" w:styleId="643" w:customStyle="1">
    <w:name w:val="Заголовок 1 Знак"/>
    <w:qFormat/>
    <w:rPr>
      <w:rFonts w:ascii="XO Thames" w:hAnsi="XO Thames"/>
      <w:b/>
      <w:sz w:val="32"/>
    </w:rPr>
  </w:style>
  <w:style w:type="character" w:styleId="644" w:customStyle="1">
    <w:name w:val="Footnote"/>
    <w:qFormat/>
    <w:rPr>
      <w:rFonts w:ascii="XO Thames" w:hAnsi="XO Thames"/>
      <w:sz w:val="22"/>
    </w:rPr>
  </w:style>
  <w:style w:type="character" w:styleId="645" w:customStyle="1">
    <w:name w:val="Оглавление 1 Знак"/>
    <w:qFormat/>
    <w:rPr>
      <w:rFonts w:ascii="XO Thames" w:hAnsi="XO Thames"/>
      <w:b/>
    </w:rPr>
  </w:style>
  <w:style w:type="character" w:styleId="646" w:customStyle="1">
    <w:name w:val="Header and Footer"/>
    <w:qFormat/>
    <w:rPr>
      <w:rFonts w:ascii="XO Thames" w:hAnsi="XO Thames"/>
      <w:sz w:val="20"/>
    </w:rPr>
  </w:style>
  <w:style w:type="character" w:styleId="647" w:customStyle="1">
    <w:name w:val="Список Знак"/>
    <w:qFormat/>
    <w:rPr>
      <w:rFonts w:ascii="Calibri" w:hAnsi="Calibri" w:asciiTheme="minorHAnsi" w:hAnsiTheme="minorHAnsi"/>
      <w:color w:val="000000"/>
      <w:sz w:val="22"/>
    </w:rPr>
  </w:style>
  <w:style w:type="character" w:styleId="648" w:customStyle="1">
    <w:name w:val="Оглавление 9 Знак"/>
    <w:qFormat/>
  </w:style>
  <w:style w:type="character" w:styleId="649" w:customStyle="1">
    <w:name w:val="Оглавление 8 Знак"/>
    <w:qFormat/>
  </w:style>
  <w:style w:type="character" w:styleId="650" w:customStyle="1">
    <w:name w:val="Текст выноски Знак"/>
    <w:basedOn w:val="633"/>
    <w:qFormat/>
    <w:rPr>
      <w:rFonts w:ascii="Segoe UI" w:hAnsi="Segoe UI"/>
      <w:sz w:val="18"/>
    </w:rPr>
  </w:style>
  <w:style w:type="character" w:styleId="651" w:customStyle="1">
    <w:name w:val="Оглавление 5 Знак"/>
    <w:qFormat/>
  </w:style>
  <w:style w:type="character" w:styleId="652" w:customStyle="1">
    <w:name w:val="Заголовок1"/>
    <w:basedOn w:val="634"/>
    <w:qFormat/>
    <w:rPr>
      <w:rFonts w:ascii="Liberation Sans" w:hAnsi="Liberation Sans"/>
      <w:color w:val="000000"/>
      <w:sz w:val="28"/>
    </w:rPr>
  </w:style>
  <w:style w:type="character" w:styleId="653" w:customStyle="1">
    <w:name w:val="Текст выноски Знак1"/>
    <w:basedOn w:val="634"/>
    <w:qFormat/>
    <w:rPr>
      <w:rFonts w:ascii="Segoe UI" w:hAnsi="Segoe UI"/>
      <w:color w:val="000000"/>
      <w:sz w:val="18"/>
    </w:rPr>
  </w:style>
  <w:style w:type="character" w:styleId="654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655" w:customStyle="1">
    <w:name w:val="Основной текст Знак"/>
    <w:basedOn w:val="634"/>
    <w:qFormat/>
    <w:rPr>
      <w:rFonts w:ascii="Calibri" w:hAnsi="Calibri" w:asciiTheme="minorHAnsi" w:hAnsiTheme="minorHAnsi"/>
      <w:color w:val="000000"/>
      <w:sz w:val="22"/>
    </w:rPr>
  </w:style>
  <w:style w:type="character" w:styleId="656" w:customStyle="1">
    <w:name w:val="toc 10"/>
    <w:qFormat/>
  </w:style>
  <w:style w:type="character" w:styleId="657" w:customStyle="1">
    <w:name w:val="Заголовок Знак"/>
    <w:qFormat/>
    <w:rPr>
      <w:rFonts w:ascii="XO Thames" w:hAnsi="XO Thames"/>
      <w:b/>
      <w:sz w:val="52"/>
    </w:rPr>
  </w:style>
  <w:style w:type="character" w:styleId="658" w:customStyle="1">
    <w:name w:val="Оглавление 4 Знак1"/>
    <w:qFormat/>
    <w:rPr>
      <w:rFonts w:ascii="XO Thames" w:hAnsi="XO Thames"/>
      <w:b/>
      <w:color w:val="595959"/>
      <w:sz w:val="26"/>
    </w:rPr>
  </w:style>
  <w:style w:type="character" w:styleId="659" w:customStyle="1">
    <w:name w:val="Оглавление 2 Знак1"/>
    <w:qFormat/>
    <w:rPr>
      <w:rFonts w:ascii="XO Thames" w:hAnsi="XO Thames"/>
      <w:b/>
      <w:color w:val="00a0ff"/>
      <w:sz w:val="26"/>
    </w:rPr>
  </w:style>
  <w:style w:type="character" w:styleId="660" w:customStyle="1">
    <w:name w:val="Указатель Знак"/>
    <w:basedOn w:val="634"/>
    <w:qFormat/>
    <w:rPr>
      <w:rFonts w:ascii="Calibri" w:hAnsi="Calibri" w:asciiTheme="minorHAnsi" w:hAnsiTheme="minorHAnsi"/>
      <w:color w:val="000000"/>
      <w:sz w:val="22"/>
    </w:rPr>
  </w:style>
  <w:style w:type="paragraph" w:styleId="661">
    <w:name w:val="Заголовок"/>
    <w:basedOn w:val="600"/>
    <w:next w:val="662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662">
    <w:name w:val="Body Text"/>
    <w:basedOn w:val="600"/>
    <w:pPr>
      <w:spacing w:before="0" w:after="140" w:line="276" w:lineRule="auto"/>
    </w:pPr>
  </w:style>
  <w:style w:type="paragraph" w:styleId="663">
    <w:name w:val="List"/>
    <w:basedOn w:val="662"/>
  </w:style>
  <w:style w:type="paragraph" w:styleId="664">
    <w:name w:val="Caption"/>
    <w:basedOn w:val="600"/>
    <w:qFormat/>
    <w:pPr>
      <w:spacing w:before="120" w:after="120"/>
    </w:pPr>
    <w:rPr>
      <w:i/>
      <w:sz w:val="24"/>
    </w:rPr>
  </w:style>
  <w:style w:type="paragraph" w:styleId="665">
    <w:name w:val="Указатель"/>
    <w:basedOn w:val="600"/>
    <w:qFormat/>
    <w:pPr>
      <w:suppressLineNumbers/>
    </w:pPr>
    <w:rPr>
      <w:rFonts w:cs="Droid Sans Devanagari"/>
    </w:rPr>
  </w:style>
  <w:style w:type="paragraph" w:styleId="666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67">
    <w:name w:val="Quote"/>
    <w:basedOn w:val="600"/>
    <w:uiPriority w:val="29"/>
    <w:qFormat/>
    <w:pPr>
      <w:ind w:left="720" w:right="720" w:firstLine="0"/>
    </w:pPr>
    <w:rPr>
      <w:i/>
    </w:rPr>
  </w:style>
  <w:style w:type="paragraph" w:styleId="668">
    <w:name w:val="Intense Quote"/>
    <w:basedOn w:val="600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69" w:customStyle="1">
    <w:name w:val="Верхний и нижний колонтитулы"/>
    <w:qFormat/>
    <w:pPr>
      <w:jc w:val="left"/>
      <w:spacing w:before="0" w:after="0" w:line="360" w:lineRule="auto"/>
      <w:widowControl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670">
    <w:name w:val="Header"/>
    <w:basedOn w:val="60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1">
    <w:name w:val="Footer"/>
    <w:basedOn w:val="60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2">
    <w:name w:val="footnote text"/>
    <w:basedOn w:val="60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73">
    <w:name w:val="endnote text"/>
    <w:basedOn w:val="60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74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75">
    <w:name w:val="table of figures"/>
    <w:basedOn w:val="600"/>
    <w:uiPriority w:val="99"/>
    <w:unhideWhenUsed/>
    <w:qFormat/>
    <w:pPr>
      <w:spacing w:before="0" w:after="0" w:afterAutospacing="0"/>
    </w:pPr>
  </w:style>
  <w:style w:type="paragraph" w:styleId="676">
    <w:name w:val="Title"/>
    <w:uiPriority w:val="10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52"/>
      <w:szCs w:val="20"/>
      <w:lang w:val="ru-RU" w:eastAsia="ru-RU" w:bidi="ar-SA"/>
    </w:rPr>
  </w:style>
  <w:style w:type="paragraph" w:styleId="677">
    <w:name w:val="index heading"/>
    <w:basedOn w:val="600"/>
    <w:qFormat/>
  </w:style>
  <w:style w:type="paragraph" w:styleId="678">
    <w:name w:val="toc 2"/>
    <w:uiPriority w:val="39"/>
    <w:pPr>
      <w:ind w:left="2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79">
    <w:name w:val="toc 4"/>
    <w:uiPriority w:val="39"/>
    <w:pPr>
      <w:ind w:left="6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0">
    <w:name w:val="toc 6"/>
    <w:uiPriority w:val="39"/>
    <w:pPr>
      <w:ind w:left="10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1">
    <w:name w:val="toc 7"/>
    <w:uiPriority w:val="39"/>
    <w:pPr>
      <w:ind w:left="12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2" w:customStyle="1">
    <w:name w:val="Оглавление 1 Знак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3">
    <w:name w:val="toc 3"/>
    <w:uiPriority w:val="39"/>
    <w:pPr>
      <w:ind w:left="4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4" w:customStyle="1">
    <w:name w:val="Текст выноски Знак2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0000ff"/>
      <w:sz w:val="20"/>
      <w:szCs w:val="20"/>
      <w:u w:val="single"/>
      <w:lang w:val="ru-RU" w:eastAsia="ru-RU" w:bidi="ar-SA"/>
    </w:rPr>
  </w:style>
  <w:style w:type="paragraph" w:styleId="685" w:customStyle="1">
    <w:name w:val="Footnote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686">
    <w:name w:val="toc 1"/>
    <w:uiPriority w:val="39"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0"/>
      <w:szCs w:val="20"/>
      <w:lang w:val="ru-RU" w:eastAsia="ru-RU" w:bidi="ar-SA"/>
    </w:rPr>
  </w:style>
  <w:style w:type="paragraph" w:styleId="687">
    <w:name w:val="toc 9"/>
    <w:uiPriority w:val="39"/>
    <w:pPr>
      <w:ind w:left="16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8">
    <w:name w:val="toc 8"/>
    <w:uiPriority w:val="39"/>
    <w:pPr>
      <w:ind w:left="14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89" w:customStyle="1">
    <w:name w:val="Текст выноски Знак"/>
    <w:basedOn w:val="682"/>
    <w:qFormat/>
    <w:rPr>
      <w:rFonts w:ascii="Segoe UI" w:hAnsi="Segoe UI"/>
      <w:sz w:val="18"/>
    </w:rPr>
  </w:style>
  <w:style w:type="paragraph" w:styleId="690">
    <w:name w:val="toc 5"/>
    <w:uiPriority w:val="39"/>
    <w:pPr>
      <w:ind w:left="8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91">
    <w:name w:val="Balloon Text"/>
    <w:basedOn w:val="600"/>
    <w:qFormat/>
    <w:pPr>
      <w:spacing w:before="0" w:after="0" w:line="240" w:lineRule="auto"/>
    </w:pPr>
    <w:rPr>
      <w:rFonts w:ascii="Segoe UI" w:hAnsi="Segoe UI"/>
      <w:sz w:val="18"/>
    </w:rPr>
  </w:style>
  <w:style w:type="paragraph" w:styleId="692">
    <w:name w:val="Subtitle"/>
    <w:uiPriority w:val="11"/>
    <w:qFormat/>
    <w:pPr>
      <w:jc w:val="left"/>
      <w:spacing w:before="0" w:after="0"/>
      <w:widowControl/>
    </w:pPr>
    <w:rPr>
      <w:rFonts w:ascii="XO Thames" w:hAnsi="XO Thames" w:eastAsia="Times New Roman" w:cs="Times New Roman"/>
      <w:i/>
      <w:color w:val="616161"/>
      <w:sz w:val="24"/>
      <w:szCs w:val="20"/>
      <w:lang w:val="ru-RU" w:eastAsia="ru-RU" w:bidi="ar-SA"/>
    </w:rPr>
  </w:style>
  <w:style w:type="paragraph" w:styleId="693" w:customStyle="1">
    <w:name w:val="toc 10"/>
    <w:uiPriority w:val="39"/>
    <w:qFormat/>
    <w:pPr>
      <w:ind w:left="1800" w:firstLine="0"/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000000"/>
      <w:sz w:val="20"/>
      <w:szCs w:val="20"/>
      <w:lang w:val="ru-RU" w:eastAsia="ru-RU" w:bidi="ar-SA"/>
    </w:rPr>
  </w:style>
  <w:style w:type="paragraph" w:styleId="694">
    <w:name w:val="List Paragraph"/>
    <w:basedOn w:val="600"/>
    <w:qFormat/>
    <w:pPr>
      <w:contextualSpacing/>
      <w:ind w:left="720" w:firstLine="0"/>
      <w:spacing w:before="0" w:after="200"/>
    </w:pPr>
  </w:style>
  <w:style w:type="numbering" w:styleId="695" w:default="1">
    <w:name w:val="No List"/>
    <w:uiPriority w:val="99"/>
    <w:semiHidden/>
    <w:unhideWhenUsed/>
    <w:qFormat/>
  </w:style>
  <w:style w:type="table" w:styleId="7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Екатерина Ярославна</dc:creator>
  <dc:description/>
  <dc:language>ru-RU</dc:language>
  <cp:revision>27</cp:revision>
  <dcterms:created xsi:type="dcterms:W3CDTF">2022-06-20T12:24:00Z</dcterms:created>
  <dcterms:modified xsi:type="dcterms:W3CDTF">2022-12-09T09:49:19Z</dcterms:modified>
</cp:coreProperties>
</file>