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07" w:rsidRPr="00087807" w:rsidRDefault="00087807" w:rsidP="00087807">
      <w:pPr>
        <w:sectPr w:rsidR="00087807" w:rsidRPr="00087807" w:rsidSect="00EA1CFA">
          <w:pgSz w:w="11906" w:h="16838"/>
          <w:pgMar w:top="839" w:right="595" w:bottom="839" w:left="595" w:header="0" w:footer="0" w:gutter="0"/>
          <w:cols w:space="720"/>
          <w:titlePg/>
        </w:sectPr>
      </w:pPr>
    </w:p>
    <w:p w:rsidR="002C1F31" w:rsidRDefault="009000CF" w:rsidP="00EA1CFA">
      <w:pPr>
        <w:pStyle w:val="ConsPlusTitle0"/>
        <w:jc w:val="center"/>
        <w:outlineLvl w:val="0"/>
      </w:pPr>
      <w:r>
        <w:lastRenderedPageBreak/>
        <w:t>ПРАВИТЕЛЬСТВО ХАНТЫ-МАНСИЙСКОГО АВТОНОМНОГО ОКРУГА - ЮГРЫ</w:t>
      </w:r>
    </w:p>
    <w:p w:rsidR="002C1F31" w:rsidRDefault="002C1F31">
      <w:pPr>
        <w:pStyle w:val="ConsPlusTitle0"/>
        <w:jc w:val="center"/>
      </w:pPr>
    </w:p>
    <w:p w:rsidR="002C1F31" w:rsidRDefault="009000CF">
      <w:pPr>
        <w:pStyle w:val="ConsPlusTitle0"/>
        <w:jc w:val="center"/>
      </w:pPr>
      <w:r>
        <w:t>ПОСТАНОВЛЕНИЕ</w:t>
      </w:r>
    </w:p>
    <w:p w:rsidR="002C1F31" w:rsidRDefault="009000CF">
      <w:pPr>
        <w:pStyle w:val="ConsPlusTitle0"/>
        <w:jc w:val="center"/>
      </w:pPr>
      <w:r>
        <w:t>от 10 ноября 2023 г. N 557-п</w:t>
      </w:r>
    </w:p>
    <w:p w:rsidR="002C1F31" w:rsidRDefault="002C1F31">
      <w:pPr>
        <w:pStyle w:val="ConsPlusTitle0"/>
        <w:jc w:val="center"/>
      </w:pPr>
    </w:p>
    <w:p w:rsidR="002C1F31" w:rsidRDefault="009000CF">
      <w:pPr>
        <w:pStyle w:val="ConsPlusTitle0"/>
        <w:jc w:val="center"/>
      </w:pPr>
      <w:r>
        <w:t>О ГОСУДАРСТВЕННОЙ ПРОГРАММЕ ХАНТЫ-МАНСИЙСКОГО АВТОНОМНОГО</w:t>
      </w:r>
    </w:p>
    <w:p w:rsidR="002C1F31" w:rsidRDefault="009000CF">
      <w:pPr>
        <w:pStyle w:val="ConsPlusTitle0"/>
        <w:jc w:val="center"/>
      </w:pPr>
      <w:r>
        <w:t>ОКРУГА - ЮГРЫ "РАЗВИТИЕ ЭКОНОМИЧЕСКОГО ПОТЕНЦИАЛА"</w:t>
      </w:r>
    </w:p>
    <w:p w:rsidR="002C1F31" w:rsidRDefault="002C1F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C1F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31" w:rsidRDefault="002C1F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31" w:rsidRDefault="002C1F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1F31" w:rsidRDefault="009000C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1F31" w:rsidRDefault="009000C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01.03.2024 N 71-п,</w:t>
            </w:r>
          </w:p>
          <w:p w:rsidR="002C1F31" w:rsidRDefault="009000CF">
            <w:pPr>
              <w:pStyle w:val="ConsPlusNormal0"/>
              <w:jc w:val="center"/>
            </w:pPr>
            <w:r>
              <w:rPr>
                <w:color w:val="392C69"/>
              </w:rPr>
              <w:t>от 25.07.2024 N 274-п, от 08.11.2024 N 403-п, от 19.12.2024 N 518-п,</w:t>
            </w:r>
          </w:p>
          <w:p w:rsidR="002C1F31" w:rsidRDefault="009000CF">
            <w:pPr>
              <w:pStyle w:val="ConsPlusNormal0"/>
              <w:jc w:val="center"/>
            </w:pPr>
            <w:r>
              <w:rPr>
                <w:color w:val="392C69"/>
              </w:rPr>
              <w:t>от 26.12.2024 N 549-п, от 21.07.2025 N 271-п, от 14.01.2026 N 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31" w:rsidRDefault="002C1F31">
            <w:pPr>
              <w:pStyle w:val="ConsPlusNormal0"/>
            </w:pPr>
          </w:p>
        </w:tc>
      </w:tr>
    </w:tbl>
    <w:p w:rsidR="002C1F31" w:rsidRDefault="002C1F31">
      <w:pPr>
        <w:pStyle w:val="ConsPlusNormal0"/>
        <w:ind w:firstLine="540"/>
        <w:jc w:val="both"/>
      </w:pPr>
      <w:bookmarkStart w:id="0" w:name="_GoBack"/>
      <w:bookmarkEnd w:id="0"/>
    </w:p>
    <w:p w:rsidR="002C1F31" w:rsidRDefault="009000CF">
      <w:pPr>
        <w:pStyle w:val="ConsPlusNormal0"/>
        <w:ind w:firstLine="540"/>
        <w:jc w:val="both"/>
      </w:pPr>
      <w:r>
        <w:t xml:space="preserve">В соответствии с Бюджетным кодексом Российской </w:t>
      </w:r>
      <w:r>
        <w:t>Федерации, постановлением Правительства Ханты-Мансийского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учитывая решение Общественного сове</w:t>
      </w:r>
      <w:r>
        <w:t>та при Департаменте экономического развития Ханты-Мансийского автономного округа - Югры (протокол заседания от 24 октября 2023 года N 37), Правительство Ханты-Мансийского автономного округа - Югры постановляет: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50" w:tooltip="ГОСУДАРСТВЕННАЯ ПРОГРАММА">
        <w:r>
          <w:rPr>
            <w:color w:val="0000FF"/>
          </w:rPr>
          <w:t>программу</w:t>
        </w:r>
      </w:hyperlink>
      <w:r>
        <w:t xml:space="preserve"> Ханты-Мансийского автономного округа - Югры "Развитие экономического потенциала" (далее - государственная программа).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2. Определить Департамент экономического развития Ханты-Мансийского автономного округа - Югры ответственным исполнителем государственной программы.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3.1. Постановления Правительства Ханты-Мансийского автономного округа - Югры: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 xml:space="preserve">от 4 марта 2022 года N 73-п "О внесении изменений в приложение 1 к постановлению Правительства Ханты-Мансийского </w:t>
      </w:r>
      <w:r>
        <w:t>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 1 июля 2022 года N 294-п "О внесении изменений в приложение 1 к постановлению Правит</w:t>
      </w:r>
      <w:r>
        <w:t>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 5 августа 2022 года N 377-п "О внесении изменений в прилож</w:t>
      </w:r>
      <w:r>
        <w:t>ение 1 к постановлению Правительства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 xml:space="preserve">от 19 августа 2022 года N 391-п </w:t>
      </w:r>
      <w:r>
        <w:t xml:space="preserve">"О внесении изменений в приложение 1 к постановлению Правительства Ханты-Мансийского автономного округа - Югры от 31 октября 2021 года N 483-п </w:t>
      </w:r>
      <w:r>
        <w:lastRenderedPageBreak/>
        <w:t>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</w:t>
      </w:r>
      <w:r>
        <w:t xml:space="preserve"> 11 ноября 2022 года N 595-п "О внесении изменений в постановление Правительства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экономического п</w:t>
      </w:r>
      <w:r>
        <w:t>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 8 декабря 2022 года N 658-п "О внесении изменений в постановление Правительства Ханты-Мансийского автономного округа - Югры от 31 октября 2021 года N 483-п "О государственной программе Ханты-Мансийского автономного округа - Югры "Развитие эк</w:t>
      </w:r>
      <w:r>
        <w:t>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 20 января 2023 года N 10-п "О внесении изменений в приложение 1 к постановлению Правительства Ханты-Мансийского автономного округа - Югры от 31 октября 2021 года N 483-п "О государственной программе Ханты-Мансийского автономног</w:t>
      </w:r>
      <w:r>
        <w:t>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 xml:space="preserve">от 7 апреля 2023 года N 129-п "О внесении изменений в приложение 1 к постановлению Правительства Ханты-Мансийского автономного округа - Югры от 31 октября 2021 года N 483-п "О государственной программе </w:t>
      </w:r>
      <w:r>
        <w:t>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 xml:space="preserve">от 14 апреля 2023 года N 148-п "О внесении изменений в приложение 1 к постановлению Правительства Ханты-Мансийского автономного округа - Югры от 31 октября 2021 года N 483-п </w:t>
      </w:r>
      <w:r>
        <w:t>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 23 июня 2023 года N 278-п "О внесении изменения в приложение 1 к постановлению Правительства Ханты-Мансийского автономного округа - Югры от 31</w:t>
      </w:r>
      <w:r>
        <w:t xml:space="preserve">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 xml:space="preserve">от 22 сентября 2023 года N 462-п "О внесении изменений в приложение 1 к постановлению Правительства Ханты-Мансийского </w:t>
      </w:r>
      <w:r>
        <w:t>автономного округа - Югры от 31 октября 2021 года N 483-п "О государственной программе Ханты-Мансийского автономного округа - Югры "Развитие экономического потенциала";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от 13 октября 2023 года N 505-п "О внесении изменений в некоторые постановления Правите</w:t>
      </w:r>
      <w:r>
        <w:t>льства Ханты-Мансийского автономного округа - Югры".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3.2. Пункт 1 постановления Правительства Ханты-Мансийского автономного округа - Югры от 20 мая 2022 года N 209-п "О внесении изменений в некоторые постановления Правительства Ханты-Мансийского автономног</w:t>
      </w:r>
      <w:r>
        <w:t>о округа - Югры".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3.3. Пункт 1 постановления Правительства Ханты-Мансийского автономного округа - Югры от 15 марта 2023 года N 92-п "О внесении изменений в некоторые постановления Правительства Ханты-Мансийского автономного округа - Югры".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4. Настоящее пос</w:t>
      </w:r>
      <w:r>
        <w:t>тановление вступает в силу с 1 января 2024 года.</w:t>
      </w:r>
    </w:p>
    <w:p w:rsidR="002C1F31" w:rsidRDefault="002C1F31">
      <w:pPr>
        <w:pStyle w:val="ConsPlusNormal0"/>
        <w:ind w:firstLine="540"/>
        <w:jc w:val="both"/>
      </w:pPr>
    </w:p>
    <w:p w:rsidR="00EA1CFA" w:rsidRDefault="00EA1CFA">
      <w:pPr>
        <w:pStyle w:val="ConsPlusNormal0"/>
        <w:ind w:firstLine="540"/>
        <w:jc w:val="both"/>
      </w:pPr>
    </w:p>
    <w:p w:rsidR="002C1F31" w:rsidRDefault="009000CF">
      <w:pPr>
        <w:pStyle w:val="ConsPlusNormal0"/>
        <w:jc w:val="right"/>
      </w:pPr>
      <w:r>
        <w:lastRenderedPageBreak/>
        <w:t>Губернатор</w:t>
      </w:r>
    </w:p>
    <w:p w:rsidR="002C1F31" w:rsidRDefault="009000CF">
      <w:pPr>
        <w:pStyle w:val="ConsPlusNormal0"/>
        <w:jc w:val="right"/>
      </w:pPr>
      <w:r>
        <w:t>Ханты-Мансийского</w:t>
      </w:r>
    </w:p>
    <w:p w:rsidR="002C1F31" w:rsidRDefault="009000CF">
      <w:pPr>
        <w:pStyle w:val="ConsPlusNormal0"/>
        <w:jc w:val="right"/>
      </w:pPr>
      <w:r>
        <w:t>автономного округа - Югры</w:t>
      </w:r>
    </w:p>
    <w:p w:rsidR="002C1F31" w:rsidRDefault="009000CF">
      <w:pPr>
        <w:pStyle w:val="ConsPlusNormal0"/>
        <w:jc w:val="right"/>
      </w:pPr>
      <w:r>
        <w:t>Н.В.КОМАРОВА</w:t>
      </w:r>
    </w:p>
    <w:p w:rsidR="002C1F31" w:rsidRDefault="002C1F31">
      <w:pPr>
        <w:pStyle w:val="ConsPlusNormal0"/>
      </w:pPr>
    </w:p>
    <w:p w:rsidR="002C1F31" w:rsidRDefault="002C1F31">
      <w:pPr>
        <w:pStyle w:val="ConsPlusNormal0"/>
      </w:pPr>
    </w:p>
    <w:p w:rsidR="002C1F31" w:rsidRDefault="002C1F31">
      <w:pPr>
        <w:pStyle w:val="ConsPlusNormal0"/>
      </w:pPr>
    </w:p>
    <w:p w:rsidR="002C1F31" w:rsidRDefault="002C1F31">
      <w:pPr>
        <w:pStyle w:val="ConsPlusNormal0"/>
      </w:pPr>
    </w:p>
    <w:p w:rsidR="002C1F31" w:rsidRDefault="002C1F31">
      <w:pPr>
        <w:pStyle w:val="ConsPlusNormal0"/>
      </w:pPr>
    </w:p>
    <w:p w:rsidR="002C1F31" w:rsidRDefault="009000CF">
      <w:pPr>
        <w:pStyle w:val="ConsPlusNormal0"/>
        <w:jc w:val="right"/>
        <w:outlineLvl w:val="0"/>
      </w:pPr>
      <w:r>
        <w:t>Приложение</w:t>
      </w:r>
    </w:p>
    <w:p w:rsidR="002C1F31" w:rsidRDefault="009000CF">
      <w:pPr>
        <w:pStyle w:val="ConsPlusNormal0"/>
        <w:jc w:val="right"/>
      </w:pPr>
      <w:r>
        <w:t>к постановлению Правительства</w:t>
      </w:r>
    </w:p>
    <w:p w:rsidR="002C1F31" w:rsidRDefault="009000CF">
      <w:pPr>
        <w:pStyle w:val="ConsPlusNormal0"/>
        <w:jc w:val="right"/>
      </w:pPr>
      <w:r>
        <w:t>Ханты-Мансийского</w:t>
      </w:r>
    </w:p>
    <w:p w:rsidR="002C1F31" w:rsidRDefault="009000CF">
      <w:pPr>
        <w:pStyle w:val="ConsPlusNormal0"/>
        <w:jc w:val="right"/>
      </w:pPr>
      <w:r>
        <w:t>автономного округа - Югры</w:t>
      </w:r>
    </w:p>
    <w:p w:rsidR="002C1F31" w:rsidRDefault="009000CF">
      <w:pPr>
        <w:pStyle w:val="ConsPlusNormal0"/>
        <w:jc w:val="right"/>
      </w:pPr>
      <w:r>
        <w:t>от 10 ноября 2023 года N 557-п</w:t>
      </w:r>
    </w:p>
    <w:p w:rsidR="002C1F31" w:rsidRDefault="002C1F31">
      <w:pPr>
        <w:pStyle w:val="ConsPlusNormal0"/>
      </w:pPr>
    </w:p>
    <w:p w:rsidR="002C1F31" w:rsidRDefault="009000CF">
      <w:pPr>
        <w:pStyle w:val="ConsPlusTitle0"/>
        <w:jc w:val="center"/>
      </w:pPr>
      <w:bookmarkStart w:id="1" w:name="P50"/>
      <w:bookmarkEnd w:id="1"/>
      <w:r>
        <w:t>ГОСУДАРСТВЕННАЯ ПРОГРАММА</w:t>
      </w:r>
    </w:p>
    <w:p w:rsidR="002C1F31" w:rsidRDefault="009000CF">
      <w:pPr>
        <w:pStyle w:val="ConsPlusTitle0"/>
        <w:jc w:val="center"/>
      </w:pPr>
      <w:r>
        <w:t>ХАНТЫ-МАНСИЙСКОГО АВТОНОМНОГО ОКРУГА - ЮГРЫ</w:t>
      </w:r>
    </w:p>
    <w:p w:rsidR="002C1F31" w:rsidRDefault="009000CF">
      <w:pPr>
        <w:pStyle w:val="ConsPlusTitle0"/>
        <w:jc w:val="center"/>
      </w:pPr>
      <w:r>
        <w:t>"РАЗВИТИЕ ЭКОНОМИЧЕСКОГО ПОТЕНЦИАЛА"</w:t>
      </w:r>
    </w:p>
    <w:p w:rsidR="002C1F31" w:rsidRDefault="009000CF">
      <w:pPr>
        <w:pStyle w:val="ConsPlusTitle0"/>
        <w:jc w:val="center"/>
      </w:pPr>
      <w:r>
        <w:t>(ДАЛЕЕ - ГОСУДАРСТВЕННАЯ ПРОГРАММА)</w:t>
      </w:r>
    </w:p>
    <w:p w:rsidR="002C1F31" w:rsidRDefault="002C1F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C1F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31" w:rsidRDefault="002C1F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31" w:rsidRDefault="002C1F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1F31" w:rsidRDefault="009000C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1F31" w:rsidRDefault="009000C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19.12.2024 N 518-п,</w:t>
            </w:r>
          </w:p>
          <w:p w:rsidR="002C1F31" w:rsidRDefault="009000CF">
            <w:pPr>
              <w:pStyle w:val="ConsPlusNormal0"/>
              <w:jc w:val="center"/>
            </w:pPr>
            <w:r>
              <w:rPr>
                <w:color w:val="392C69"/>
              </w:rPr>
              <w:t>от 21.07.2</w:t>
            </w:r>
            <w:r>
              <w:rPr>
                <w:color w:val="392C69"/>
              </w:rPr>
              <w:t>025 N 271-п, от 14.01.2026 N 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1F31" w:rsidRDefault="002C1F31">
            <w:pPr>
              <w:pStyle w:val="ConsPlusNormal0"/>
            </w:pPr>
          </w:p>
        </w:tc>
      </w:tr>
    </w:tbl>
    <w:p w:rsidR="002C1F31" w:rsidRDefault="002C1F31">
      <w:pPr>
        <w:pStyle w:val="ConsPlusNormal0"/>
      </w:pPr>
    </w:p>
    <w:p w:rsidR="002C1F31" w:rsidRDefault="009000CF">
      <w:pPr>
        <w:pStyle w:val="ConsPlusTitle0"/>
        <w:jc w:val="center"/>
        <w:outlineLvl w:val="1"/>
      </w:pPr>
      <w:r>
        <w:t>Паспорт</w:t>
      </w:r>
    </w:p>
    <w:p w:rsidR="002C1F31" w:rsidRDefault="009000CF">
      <w:pPr>
        <w:pStyle w:val="ConsPlusTitle0"/>
        <w:jc w:val="center"/>
      </w:pPr>
      <w:r>
        <w:t>государственной программы</w:t>
      </w:r>
    </w:p>
    <w:p w:rsidR="002C1F31" w:rsidRDefault="002C1F31">
      <w:pPr>
        <w:pStyle w:val="ConsPlusNormal0"/>
        <w:jc w:val="center"/>
      </w:pPr>
    </w:p>
    <w:p w:rsidR="002C1F31" w:rsidRDefault="009000CF">
      <w:pPr>
        <w:pStyle w:val="ConsPlusTitle0"/>
        <w:jc w:val="center"/>
        <w:outlineLvl w:val="2"/>
      </w:pPr>
      <w:r>
        <w:t>1. Основные положения</w:t>
      </w:r>
    </w:p>
    <w:p w:rsidR="002C1F31" w:rsidRDefault="002C1F3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2C1F31">
        <w:tc>
          <w:tcPr>
            <w:tcW w:w="272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Куратор государственной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proofErr w:type="spellStart"/>
            <w:r>
              <w:t>Огородникова</w:t>
            </w:r>
            <w:proofErr w:type="spellEnd"/>
            <w:r>
              <w:t xml:space="preserve"> Наталья Юрьевна - заместитель Губернатора Ханты-Мансийского автономного округа - Югры</w:t>
            </w:r>
          </w:p>
        </w:tc>
      </w:tr>
      <w:tr w:rsidR="002C1F31">
        <w:tc>
          <w:tcPr>
            <w:tcW w:w="9071" w:type="dxa"/>
            <w:gridSpan w:val="2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Правительства ХМАО - Югры от 14.01.2026 N 4-п)</w:t>
            </w:r>
          </w:p>
        </w:tc>
      </w:tr>
      <w:tr w:rsidR="002C1F31">
        <w:tblPrEx>
          <w:tblBorders>
            <w:insideH w:val="single" w:sz="4" w:space="0" w:color="auto"/>
          </w:tblBorders>
        </w:tblPrEx>
        <w:tc>
          <w:tcPr>
            <w:tcW w:w="2721" w:type="dxa"/>
          </w:tcPr>
          <w:p w:rsidR="002C1F31" w:rsidRDefault="009000CF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6350" w:type="dxa"/>
          </w:tcPr>
          <w:p w:rsidR="002C1F31" w:rsidRDefault="009000CF">
            <w:pPr>
              <w:pStyle w:val="ConsPlusNormal0"/>
            </w:pPr>
            <w:r>
              <w:t xml:space="preserve">Департамент экономического развития Ханты-Мансийского автономного округа - Югры (далее - автономный округ, </w:t>
            </w:r>
            <w:proofErr w:type="spellStart"/>
            <w:r>
              <w:t>Депэкономики</w:t>
            </w:r>
            <w:proofErr w:type="spellEnd"/>
            <w:r>
              <w:t xml:space="preserve"> Югры)</w:t>
            </w:r>
          </w:p>
        </w:tc>
      </w:tr>
      <w:tr w:rsidR="002C1F31">
        <w:tblPrEx>
          <w:tblBorders>
            <w:insideH w:val="single" w:sz="4" w:space="0" w:color="auto"/>
          </w:tblBorders>
        </w:tblPrEx>
        <w:tc>
          <w:tcPr>
            <w:tcW w:w="2721" w:type="dxa"/>
          </w:tcPr>
          <w:p w:rsidR="002C1F31" w:rsidRDefault="009000CF">
            <w:pPr>
              <w:pStyle w:val="ConsPlusNormal0"/>
            </w:pPr>
            <w:r>
              <w:t>Период реализации государственной программы</w:t>
            </w:r>
          </w:p>
        </w:tc>
        <w:tc>
          <w:tcPr>
            <w:tcW w:w="6350" w:type="dxa"/>
          </w:tcPr>
          <w:p w:rsidR="002C1F31" w:rsidRDefault="009000CF">
            <w:pPr>
              <w:pStyle w:val="ConsPlusNormal0"/>
            </w:pPr>
            <w:r>
              <w:t>2025 - 2030</w:t>
            </w:r>
          </w:p>
        </w:tc>
      </w:tr>
      <w:tr w:rsidR="002C1F31">
        <w:tc>
          <w:tcPr>
            <w:tcW w:w="272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Цели государственной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1. Обеспечение устойчивого экономического роста и стимулирование инвестиционной активности.</w:t>
            </w:r>
          </w:p>
          <w:p w:rsidR="002C1F31" w:rsidRDefault="009000CF">
            <w:pPr>
              <w:pStyle w:val="ConsPlusNormal0"/>
            </w:pPr>
            <w:r>
              <w:t>2. Повышение реального роста дохода на одного работника субъекта малого и ср</w:t>
            </w:r>
            <w:r>
              <w:t>еднего предпринимательства.</w:t>
            </w:r>
          </w:p>
          <w:p w:rsidR="002C1F31" w:rsidRDefault="009000CF">
            <w:pPr>
              <w:pStyle w:val="ConsPlusNormal0"/>
            </w:pPr>
            <w:r>
              <w:t xml:space="preserve">3. Обеспечение доступности получения государственных и </w:t>
            </w:r>
            <w:r>
              <w:lastRenderedPageBreak/>
              <w:t>муниципальных услуг по принципу "одного окна"</w:t>
            </w:r>
          </w:p>
        </w:tc>
      </w:tr>
      <w:tr w:rsidR="002C1F31">
        <w:tc>
          <w:tcPr>
            <w:tcW w:w="9071" w:type="dxa"/>
            <w:gridSpan w:val="2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lastRenderedPageBreak/>
              <w:t>(в ред. постановления Правительства ХМАО - Югры от 21.07.2025 N 271-п)</w:t>
            </w:r>
          </w:p>
        </w:tc>
      </w:tr>
      <w:tr w:rsidR="002C1F31">
        <w:tblPrEx>
          <w:tblBorders>
            <w:insideH w:val="single" w:sz="4" w:space="0" w:color="auto"/>
          </w:tblBorders>
        </w:tblPrEx>
        <w:tc>
          <w:tcPr>
            <w:tcW w:w="2721" w:type="dxa"/>
          </w:tcPr>
          <w:p w:rsidR="002C1F31" w:rsidRDefault="009000CF">
            <w:pPr>
              <w:pStyle w:val="ConsPlusNormal0"/>
            </w:pPr>
            <w:r>
              <w:t>Направления (подпрограммы) государственной программы</w:t>
            </w:r>
          </w:p>
        </w:tc>
        <w:tc>
          <w:tcPr>
            <w:tcW w:w="6350" w:type="dxa"/>
          </w:tcPr>
          <w:p w:rsidR="002C1F31" w:rsidRDefault="009000CF">
            <w:pPr>
              <w:pStyle w:val="ConsPlusNormal0"/>
            </w:pPr>
            <w:hyperlink w:anchor="P206" w:tooltip="Направление (подпрограмма) &quot;Развитие малого и среднего предпринимательства&quot;">
              <w:r>
                <w:rPr>
                  <w:color w:val="0000FF"/>
                </w:rPr>
                <w:t>1</w:t>
              </w:r>
            </w:hyperlink>
            <w:r>
              <w:t>. "Развитие малого и среднего предпринимательства".</w:t>
            </w:r>
          </w:p>
          <w:p w:rsidR="002C1F31" w:rsidRDefault="009000CF">
            <w:pPr>
              <w:pStyle w:val="ConsPlusNormal0"/>
            </w:pPr>
            <w:hyperlink w:anchor="P233" w:tooltip="Направление (подпрограмма) &quot;Развитие экспортного потенциала&quot;">
              <w:r>
                <w:rPr>
                  <w:color w:val="0000FF"/>
                </w:rPr>
                <w:t>2</w:t>
              </w:r>
            </w:hyperlink>
            <w:r>
              <w:t>. "Развитие экспортного потенциала".</w:t>
            </w:r>
          </w:p>
          <w:p w:rsidR="002C1F31" w:rsidRDefault="009000CF">
            <w:pPr>
              <w:pStyle w:val="ConsPlusNormal0"/>
            </w:pPr>
            <w:hyperlink w:anchor="P251" w:tooltip="Направление (подпрограмма) &quot;Повышение инвестиционной привлекательности&quot;">
              <w:r>
                <w:rPr>
                  <w:color w:val="0000FF"/>
                </w:rPr>
                <w:t>3</w:t>
              </w:r>
            </w:hyperlink>
            <w:r>
              <w:t>. "Повышение инвестиционной привлекательности".</w:t>
            </w:r>
          </w:p>
          <w:p w:rsidR="002C1F31" w:rsidRDefault="009000CF">
            <w:pPr>
              <w:pStyle w:val="ConsPlusNormal0"/>
            </w:pPr>
            <w:hyperlink w:anchor="P271" w:tooltip="Направление (подпрограмма) &quot;Совершенствование системы стратегического управления и развитие конкуренции&quot;">
              <w:r>
                <w:rPr>
                  <w:color w:val="0000FF"/>
                </w:rPr>
                <w:t>4</w:t>
              </w:r>
            </w:hyperlink>
            <w:r>
              <w:t>. "Совершенствование системы стратегического управления и развитие конкуренции".</w:t>
            </w:r>
          </w:p>
          <w:p w:rsidR="002C1F31" w:rsidRDefault="009000CF">
            <w:pPr>
              <w:pStyle w:val="ConsPlusNormal0"/>
            </w:pPr>
            <w:hyperlink w:anchor="P287" w:tooltip="Направление (подпрограмма) &quot;Предоставление государственных и муниципальных услуг в многофункциональных центрах&quot;">
              <w:r>
                <w:rPr>
                  <w:color w:val="0000FF"/>
                </w:rPr>
                <w:t>5</w:t>
              </w:r>
            </w:hyperlink>
            <w:r>
              <w:t>. "Предоставление государственных и муниципальных услуг в многофункциональных центрах".</w:t>
            </w:r>
          </w:p>
          <w:p w:rsidR="002C1F31" w:rsidRDefault="009000CF">
            <w:pPr>
              <w:pStyle w:val="ConsPlusNormal0"/>
            </w:pPr>
            <w:hyperlink w:anchor="P297" w:tooltip="Комплекс процессных мероприятий &quot;Дополнительное пенсионное обеспечение отдельных категорий граждан&quot;">
              <w:r>
                <w:rPr>
                  <w:color w:val="0000FF"/>
                </w:rPr>
                <w:t>6</w:t>
              </w:r>
            </w:hyperlink>
            <w:r>
              <w:t>. "Организация дополнительного пенсионного обеспечения отдельных категорий граждан".</w:t>
            </w:r>
          </w:p>
          <w:p w:rsidR="002C1F31" w:rsidRDefault="009000CF">
            <w:pPr>
              <w:pStyle w:val="ConsPlusNormal0"/>
            </w:pPr>
            <w:hyperlink w:anchor="P305" w:tooltip="Направление (подпрограмма) &quot;Государственная поддержка северного завоза&quot;">
              <w:r>
                <w:rPr>
                  <w:color w:val="0000FF"/>
                </w:rPr>
                <w:t>7</w:t>
              </w:r>
            </w:hyperlink>
            <w:r>
              <w:t>. "Государственная поддержка северного завоза"</w:t>
            </w:r>
          </w:p>
        </w:tc>
      </w:tr>
      <w:tr w:rsidR="002C1F31">
        <w:tc>
          <w:tcPr>
            <w:tcW w:w="272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350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51 278 193,6 тыс. рублей</w:t>
            </w:r>
          </w:p>
        </w:tc>
      </w:tr>
      <w:tr w:rsidR="002C1F31">
        <w:tc>
          <w:tcPr>
            <w:tcW w:w="9071" w:type="dxa"/>
            <w:gridSpan w:val="2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Правительства ХМАО - Югры от 14.01.2026 N 4-п)</w:t>
            </w:r>
          </w:p>
        </w:tc>
      </w:tr>
      <w:tr w:rsidR="002C1F31">
        <w:tc>
          <w:tcPr>
            <w:tcW w:w="272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350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1. Устойчивая и динамичная экономика:</w:t>
            </w:r>
          </w:p>
          <w:p w:rsidR="002C1F31" w:rsidRDefault="009000CF">
            <w:pPr>
              <w:pStyle w:val="ConsPlusNormal0"/>
            </w:pPr>
            <w:r>
              <w:t xml:space="preserve">1.1. Показатель "Обеспечение в 2024 - 2030 годах реального </w:t>
            </w:r>
            <w:r>
              <w:t>роста дохода на одного работника субъекта малого и среднего предпринимательства в 1,2 раза выше, чем рост валового внутреннего продукта".</w:t>
            </w:r>
          </w:p>
          <w:p w:rsidR="002C1F31" w:rsidRDefault="009000CF">
            <w:pPr>
              <w:pStyle w:val="ConsPlusNormal0"/>
            </w:pPr>
            <w:r>
              <w:t xml:space="preserve">1.2. Показатель "Обеспечение к 2030 году прироста объема экспорта </w:t>
            </w:r>
            <w:proofErr w:type="spellStart"/>
            <w:r>
              <w:t>несырьевых</w:t>
            </w:r>
            <w:proofErr w:type="spellEnd"/>
            <w:r>
              <w:t xml:space="preserve"> неэнергетических товаров не менее чем на </w:t>
            </w:r>
            <w:r>
              <w:t>две трети по сравнению с показателем 2023 года".</w:t>
            </w:r>
          </w:p>
          <w:p w:rsidR="002C1F31" w:rsidRDefault="009000CF">
            <w:pPr>
              <w:pStyle w:val="ConsPlusNormal0"/>
            </w:pPr>
            <w:r>
              <w:t>1.3. Показатель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климата".</w:t>
            </w:r>
          </w:p>
          <w:p w:rsidR="002C1F31" w:rsidRDefault="009000CF">
            <w:pPr>
              <w:pStyle w:val="ConsPlusNormal0"/>
            </w:pPr>
            <w:r>
              <w:t xml:space="preserve">2. Цифровая </w:t>
            </w:r>
            <w:r>
              <w:t>трансформация государственного и муниципального управления, экономики и социальной сферы:</w:t>
            </w:r>
          </w:p>
          <w:p w:rsidR="002C1F31" w:rsidRDefault="009000CF">
            <w:pPr>
              <w:pStyle w:val="ConsPlusNormal0"/>
            </w:pPr>
            <w:r>
              <w:t>2.1. Показатель "Достижение к 2030 году "цифровой зрелости государственного и муниципального управления, ключевых отраслей экономики и социальной сферы, в том числе з</w:t>
            </w:r>
            <w:r>
              <w:t>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</w:t>
            </w:r>
            <w:r>
              <w:t>ения и искусственного интеллекта"</w:t>
            </w:r>
          </w:p>
        </w:tc>
      </w:tr>
      <w:tr w:rsidR="002C1F31">
        <w:tc>
          <w:tcPr>
            <w:tcW w:w="9071" w:type="dxa"/>
            <w:gridSpan w:val="2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</w:tbl>
    <w:p w:rsidR="002C1F31" w:rsidRDefault="002C1F31">
      <w:pPr>
        <w:pStyle w:val="ConsPlusNormal0"/>
        <w:ind w:firstLine="540"/>
        <w:jc w:val="both"/>
      </w:pPr>
    </w:p>
    <w:p w:rsidR="002C1F31" w:rsidRDefault="009000CF">
      <w:pPr>
        <w:pStyle w:val="ConsPlusTitle0"/>
        <w:jc w:val="center"/>
        <w:outlineLvl w:val="2"/>
      </w:pPr>
      <w:r>
        <w:t>2. Показатели государственной программы</w:t>
      </w:r>
    </w:p>
    <w:p w:rsidR="002C1F31" w:rsidRDefault="002C1F31">
      <w:pPr>
        <w:pStyle w:val="ConsPlusNormal0"/>
        <w:jc w:val="center"/>
      </w:pPr>
    </w:p>
    <w:p w:rsidR="002C1F31" w:rsidRDefault="002C1F31">
      <w:pPr>
        <w:pStyle w:val="ConsPlusNormal0"/>
        <w:sectPr w:rsidR="002C1F3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229"/>
        <w:gridCol w:w="1171"/>
        <w:gridCol w:w="1134"/>
        <w:gridCol w:w="989"/>
        <w:gridCol w:w="575"/>
        <w:gridCol w:w="631"/>
        <w:gridCol w:w="631"/>
        <w:gridCol w:w="631"/>
        <w:gridCol w:w="631"/>
        <w:gridCol w:w="631"/>
        <w:gridCol w:w="631"/>
        <w:gridCol w:w="2019"/>
        <w:gridCol w:w="1608"/>
        <w:gridCol w:w="2229"/>
      </w:tblGrid>
      <w:tr w:rsidR="002C1F31">
        <w:tc>
          <w:tcPr>
            <w:tcW w:w="668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05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589" w:type="dxa"/>
            <w:gridSpan w:val="2"/>
          </w:tcPr>
          <w:p w:rsidR="002C1F31" w:rsidRDefault="009000CF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4650" w:type="dxa"/>
            <w:gridSpan w:val="6"/>
          </w:tcPr>
          <w:p w:rsidR="002C1F31" w:rsidRDefault="009000CF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  <w:tc>
          <w:tcPr>
            <w:tcW w:w="2211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373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608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Связь с показателями национальных целей</w:t>
            </w:r>
          </w:p>
        </w:tc>
      </w:tr>
      <w:tr w:rsidR="002C1F31">
        <w:tc>
          <w:tcPr>
            <w:tcW w:w="0" w:type="auto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0" w:type="auto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0" w:type="auto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0" w:type="auto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852" w:type="dxa"/>
          </w:tcPr>
          <w:p w:rsidR="002C1F31" w:rsidRDefault="009000CF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2C1F31" w:rsidRDefault="009000C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2C1F31" w:rsidRDefault="009000CF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2C1F31" w:rsidRDefault="009000CF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0" w:type="auto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0" w:type="auto"/>
            <w:vMerge/>
          </w:tcPr>
          <w:p w:rsidR="002C1F31" w:rsidRDefault="002C1F31">
            <w:pPr>
              <w:pStyle w:val="ConsPlusNormal0"/>
            </w:pPr>
          </w:p>
        </w:tc>
      </w:tr>
      <w:tr w:rsidR="002C1F31">
        <w:tc>
          <w:tcPr>
            <w:tcW w:w="668" w:type="dxa"/>
          </w:tcPr>
          <w:p w:rsidR="002C1F31" w:rsidRDefault="009000C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2C1F31" w:rsidRDefault="009000C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05" w:type="dxa"/>
          </w:tcPr>
          <w:p w:rsidR="002C1F31" w:rsidRDefault="009000C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2C1F31" w:rsidRDefault="009000C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2C1F31" w:rsidRDefault="009000C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2C1F31" w:rsidRDefault="009000C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2C1F31" w:rsidRDefault="009000C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2C1F31" w:rsidRDefault="009000C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2C1F31" w:rsidRDefault="009000CF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73" w:type="dxa"/>
          </w:tcPr>
          <w:p w:rsidR="002C1F31" w:rsidRDefault="009000CF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  <w:jc w:val="center"/>
            </w:pPr>
            <w:r>
              <w:t>15</w:t>
            </w:r>
          </w:p>
        </w:tc>
      </w:tr>
      <w:tr w:rsidR="002C1F31">
        <w:tc>
          <w:tcPr>
            <w:tcW w:w="17562" w:type="dxa"/>
            <w:gridSpan w:val="15"/>
          </w:tcPr>
          <w:p w:rsidR="002C1F31" w:rsidRDefault="009000CF">
            <w:pPr>
              <w:pStyle w:val="ConsPlusNormal0"/>
            </w:pPr>
            <w:r>
              <w:t>Цель 1 "Обеспечение устойчивого экономического роста и стимулирование инвестиционной активности"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668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1.</w:t>
            </w:r>
          </w:p>
        </w:tc>
        <w:tc>
          <w:tcPr>
            <w:tcW w:w="238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</w:t>
            </w:r>
            <w:r>
              <w:t>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1005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 xml:space="preserve">ВДЛ </w:t>
            </w:r>
            <w:hyperlink w:anchor="P184" w:tooltip="&lt;*&gt; показатели для оценки эффективности деятельности высших должностных лиц субъектов Российской Федераци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Процент</w:t>
            </w:r>
          </w:p>
        </w:tc>
        <w:tc>
          <w:tcPr>
            <w:tcW w:w="852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119,9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131,3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137,5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143,9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150,6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157,6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165,0</w:t>
            </w:r>
          </w:p>
        </w:tc>
        <w:tc>
          <w:tcPr>
            <w:tcW w:w="221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Указ Президента Российской Федерации от 28 ноября 2024 года N 1014 "Об оценке эффективности деятельности высших должностных лиц субъектов Российской Федерации и деятельности исполнительных органов субъектов Ро</w:t>
            </w:r>
            <w:r>
              <w:t>ссийской Федерации"</w:t>
            </w:r>
          </w:p>
        </w:tc>
        <w:tc>
          <w:tcPr>
            <w:tcW w:w="1373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2608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увеличение к 2030 году объема инвестиций в основной капитал не менее чем на 60 процентов, по сравнению с уровнем 2020 года, за счет постоянного улучшения инвестиционного климата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(п. 1 в ред. постановления</w:t>
            </w:r>
            <w:r>
              <w:t xml:space="preserve"> Правительства ХМАО - Югры от 14.01.2026 N 4-п)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Цель 2 "Повышение реального роста дохода на одного работника субъекта малого и среднего предпринимательства"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668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2.</w:t>
            </w:r>
          </w:p>
        </w:tc>
        <w:tc>
          <w:tcPr>
            <w:tcW w:w="238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 xml:space="preserve">Темп роста дохода в расчете на одного </w:t>
            </w:r>
            <w:r>
              <w:lastRenderedPageBreak/>
              <w:t>работника субъекта малого и среднего предпринимательства</w:t>
            </w:r>
          </w:p>
        </w:tc>
        <w:tc>
          <w:tcPr>
            <w:tcW w:w="1005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lastRenderedPageBreak/>
              <w:t xml:space="preserve">ВДЛ </w:t>
            </w:r>
            <w:hyperlink w:anchor="P184" w:tooltip="&lt;*&gt; показатели для оценки эффективности деятельности высших должностных лиц субъектов Российской Федераци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Процент</w:t>
            </w:r>
          </w:p>
        </w:tc>
        <w:tc>
          <w:tcPr>
            <w:tcW w:w="852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100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107,9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111,3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115,0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119,1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123,5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128,1</w:t>
            </w:r>
          </w:p>
        </w:tc>
        <w:tc>
          <w:tcPr>
            <w:tcW w:w="221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Указ</w:t>
            </w:r>
            <w:r>
              <w:t xml:space="preserve"> Президента Российской </w:t>
            </w:r>
            <w:r>
              <w:lastRenderedPageBreak/>
              <w:t>Федерации от 28 ноября 2024 года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1373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proofErr w:type="spellStart"/>
            <w:r>
              <w:lastRenderedPageBreak/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2608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обеспечение в</w:t>
            </w:r>
            <w:r>
              <w:t xml:space="preserve"> 2024 - 2030 годах </w:t>
            </w:r>
            <w:r>
              <w:lastRenderedPageBreak/>
              <w:t xml:space="preserve">реального роста дохода на одного работника субъекта малого и среднего предпринимательства в 1,2 раза выше, чем рост валового внутреннего продукта; обеспечение к 2030 году прироста объема экспорта </w:t>
            </w:r>
            <w:proofErr w:type="spellStart"/>
            <w:r>
              <w:t>несырьевых</w:t>
            </w:r>
            <w:proofErr w:type="spellEnd"/>
            <w:r>
              <w:t xml:space="preserve"> неэнергетических товаров не ме</w:t>
            </w:r>
            <w:r>
              <w:t>нее чем на две трети по сравнению с показателем 2023 года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lastRenderedPageBreak/>
              <w:t>(п. 2 в ред. постановления Правительства ХМАО - Югры от 21.07.2025 N 271-п)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Цель 3 "Обеспечение доступности получения государственных и муниципальных услуг по принципу "одного" окна"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 xml:space="preserve">(в ред. </w:t>
            </w:r>
            <w:r>
              <w:t>постановления Правительства ХМАО - Югры от 14.01.2026 N 4-п)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668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Уровень удовлетворенности населения автономного округа качеством предоставления государственных и муниципальных услуг по принципу "одного окна" (МФЦ)</w:t>
            </w:r>
          </w:p>
        </w:tc>
        <w:tc>
          <w:tcPr>
            <w:tcW w:w="1005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 xml:space="preserve">ГП </w:t>
            </w:r>
            <w:hyperlink w:anchor="P185" w:tooltip="&lt;**&gt; государственная программа автономного округа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7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процент</w:t>
            </w:r>
          </w:p>
        </w:tc>
        <w:tc>
          <w:tcPr>
            <w:tcW w:w="852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90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99,0</w:t>
            </w:r>
          </w:p>
        </w:tc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99,1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99,2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99,3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99,4</w:t>
            </w:r>
          </w:p>
        </w:tc>
        <w:tc>
          <w:tcPr>
            <w:tcW w:w="79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99,5</w:t>
            </w:r>
          </w:p>
        </w:tc>
        <w:tc>
          <w:tcPr>
            <w:tcW w:w="2211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Указ Президента Российской Федерации от 7 мая 2012 года N 601 "Об основных направлениях совершенствования системы государственного управления", постановление</w:t>
            </w:r>
            <w:r>
              <w:t xml:space="preserve"> </w:t>
            </w:r>
            <w:r>
              <w:lastRenderedPageBreak/>
              <w:t>Правительства Российской Федерации от 15 апреля 2014 года N 316 "Об утверждении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1373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proofErr w:type="spellStart"/>
            <w:r>
              <w:lastRenderedPageBreak/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2608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достижение к 2030 году "цифровой зрелости" государственного</w:t>
            </w:r>
            <w:r>
              <w:t xml:space="preserve"> и муниципального управления, ключевых отраслей экономики и социальной сферы, в том числе здравоохранения и </w:t>
            </w:r>
            <w:r>
              <w:lastRenderedPageBreak/>
              <w:t>образования, предполагающей автоматизацию большей части транзакций в рамках единых отраслевых цифровых платформ и модели управления на основе данных</w:t>
            </w:r>
            <w:r>
              <w:t xml:space="preserve">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7562" w:type="dxa"/>
            <w:gridSpan w:val="15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(п. 3 в ред. постановления Правительства ХМАО - Югры от 14.01.2026 N 4-п)</w:t>
            </w:r>
          </w:p>
        </w:tc>
      </w:tr>
    </w:tbl>
    <w:p w:rsidR="002C1F31" w:rsidRDefault="002C1F31">
      <w:pPr>
        <w:pStyle w:val="ConsPlusNormal0"/>
        <w:ind w:firstLine="540"/>
        <w:jc w:val="both"/>
      </w:pPr>
    </w:p>
    <w:p w:rsidR="002C1F31" w:rsidRDefault="009000CF">
      <w:pPr>
        <w:pStyle w:val="ConsPlusNormal0"/>
        <w:ind w:firstLine="540"/>
        <w:jc w:val="both"/>
      </w:pPr>
      <w:r>
        <w:t>--------------------------------</w:t>
      </w:r>
    </w:p>
    <w:p w:rsidR="002C1F31" w:rsidRDefault="009000CF">
      <w:pPr>
        <w:pStyle w:val="ConsPlusNormal0"/>
        <w:spacing w:before="240"/>
        <w:ind w:firstLine="540"/>
        <w:jc w:val="both"/>
      </w:pPr>
      <w:bookmarkStart w:id="2" w:name="P184"/>
      <w:bookmarkEnd w:id="2"/>
      <w:r>
        <w:t>&lt;*&gt; показатели для оценки эффективности деятельности высших должностных лиц субъектов Российской Федерации</w:t>
      </w:r>
    </w:p>
    <w:p w:rsidR="002C1F31" w:rsidRDefault="009000CF">
      <w:pPr>
        <w:pStyle w:val="ConsPlusNormal0"/>
        <w:spacing w:before="240"/>
        <w:ind w:firstLine="540"/>
        <w:jc w:val="both"/>
      </w:pPr>
      <w:bookmarkStart w:id="3" w:name="P185"/>
      <w:bookmarkEnd w:id="3"/>
      <w:r>
        <w:t>&lt;**&gt; государственная программа автономного округа</w:t>
      </w:r>
    </w:p>
    <w:p w:rsidR="002C1F31" w:rsidRDefault="009000CF">
      <w:pPr>
        <w:pStyle w:val="ConsPlusNormal0"/>
        <w:spacing w:before="240"/>
        <w:ind w:firstLine="540"/>
        <w:jc w:val="both"/>
      </w:pPr>
      <w:r>
        <w:t>&lt;***&gt; сноска утратила силу с 21 июля 2025 года. - Постановление Правительства ХМАО - Югры от 21.07.</w:t>
      </w:r>
      <w:r>
        <w:t>2025 N 271-п</w:t>
      </w:r>
    </w:p>
    <w:p w:rsidR="002C1F31" w:rsidRDefault="002C1F31">
      <w:pPr>
        <w:pStyle w:val="ConsPlusNormal0"/>
        <w:jc w:val="center"/>
      </w:pPr>
    </w:p>
    <w:p w:rsidR="002C1F31" w:rsidRDefault="009000CF">
      <w:pPr>
        <w:pStyle w:val="ConsPlusTitle0"/>
        <w:jc w:val="center"/>
        <w:outlineLvl w:val="3"/>
      </w:pPr>
      <w:r>
        <w:t>2.1. Прокси-показатели государственной программы в 2025 году</w:t>
      </w:r>
    </w:p>
    <w:p w:rsidR="002C1F31" w:rsidRDefault="002C1F31">
      <w:pPr>
        <w:pStyle w:val="ConsPlusNormal0"/>
        <w:jc w:val="center"/>
      </w:pPr>
    </w:p>
    <w:p w:rsidR="002C1F31" w:rsidRDefault="009000CF">
      <w:pPr>
        <w:pStyle w:val="ConsPlusNormal0"/>
        <w:ind w:firstLine="540"/>
        <w:jc w:val="both"/>
      </w:pPr>
      <w:r>
        <w:t>Утратил силу с 14 января 2026 года. - Постановление Правительства ХМАО - Югры от 14.01.2026 N 4-п.</w:t>
      </w:r>
    </w:p>
    <w:p w:rsidR="002C1F31" w:rsidRDefault="002C1F31">
      <w:pPr>
        <w:pStyle w:val="ConsPlusNormal0"/>
        <w:ind w:firstLine="540"/>
        <w:jc w:val="both"/>
      </w:pPr>
    </w:p>
    <w:p w:rsidR="002C1F31" w:rsidRDefault="009000CF">
      <w:pPr>
        <w:pStyle w:val="ConsPlusTitle0"/>
        <w:jc w:val="center"/>
        <w:outlineLvl w:val="2"/>
      </w:pPr>
      <w:r>
        <w:t>3. Структура государственной программы</w:t>
      </w:r>
    </w:p>
    <w:p w:rsidR="002C1F31" w:rsidRDefault="002C1F31">
      <w:pPr>
        <w:pStyle w:val="ConsPlusNormal0"/>
        <w:jc w:val="center"/>
      </w:pPr>
    </w:p>
    <w:p w:rsidR="002C1F31" w:rsidRDefault="009000CF">
      <w:pPr>
        <w:pStyle w:val="ConsPlusNormal0"/>
        <w:jc w:val="center"/>
      </w:pPr>
      <w:r>
        <w:t>(в ред. постановления Правительства ХМАО</w:t>
      </w:r>
      <w:r>
        <w:t xml:space="preserve"> - Югры</w:t>
      </w:r>
    </w:p>
    <w:p w:rsidR="002C1F31" w:rsidRDefault="009000CF">
      <w:pPr>
        <w:pStyle w:val="ConsPlusNormal0"/>
        <w:jc w:val="center"/>
      </w:pPr>
      <w:r>
        <w:t>от 14.01.2026 N 4-п)</w:t>
      </w:r>
    </w:p>
    <w:p w:rsidR="002C1F31" w:rsidRDefault="002C1F3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929"/>
        <w:gridCol w:w="3912"/>
        <w:gridCol w:w="2608"/>
      </w:tblGrid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  <w:jc w:val="center"/>
            </w:pPr>
            <w:r>
              <w:t>Задачи структурного элемента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  <w:jc w:val="center"/>
            </w:pPr>
            <w:r>
              <w:t>4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t>1.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bookmarkStart w:id="4" w:name="P206"/>
            <w:bookmarkEnd w:id="4"/>
            <w:r>
              <w:t>Направление (подпрограмма) "Развитие малого и среднего предпринимательства"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1.1.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 xml:space="preserve">Региональный проект "Малое и среднее предпринимательство и поддержка индивидуальной предпринимательской инициативы" (куратор - </w:t>
            </w:r>
            <w:proofErr w:type="spellStart"/>
            <w:r>
              <w:t>Огородникова</w:t>
            </w:r>
            <w:proofErr w:type="spellEnd"/>
            <w:r>
              <w:t xml:space="preserve"> Наталья Юрьевна)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2025 - 2030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Расширен </w:t>
            </w:r>
            <w:r>
              <w:t>доступ к финансовым ресурсам субъектов малого и среднего предпринимательства в приоритетных отраслях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к концу 2030 года доля субъектов малого и среднего предпринимательства (далее также - субъекты МСП), превысивших предельные значения для определения катего</w:t>
            </w:r>
            <w:r>
              <w:t>рий субъектов МСП (микро, малые, средние), составит 0,8%;</w:t>
            </w:r>
          </w:p>
          <w:p w:rsidR="002C1F31" w:rsidRDefault="009000CF">
            <w:pPr>
              <w:pStyle w:val="ConsPlusNormal0"/>
            </w:pPr>
            <w:r>
              <w:t xml:space="preserve">субъектам МСП обеспечен льготный доступ к заемным средствам государственных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 (объем финансовой поддержки, предоставленной Фондом поддержки инвестиционных проектов креативн</w:t>
            </w:r>
            <w:r>
              <w:t>ых индустрий и микрофинансирования (</w:t>
            </w:r>
            <w:proofErr w:type="spellStart"/>
            <w:r>
              <w:t>микрокредитная</w:t>
            </w:r>
            <w:proofErr w:type="spellEnd"/>
            <w:r>
              <w:t xml:space="preserve"> компания) </w:t>
            </w:r>
            <w:r>
              <w:lastRenderedPageBreak/>
              <w:t>субъектам МСП, к концу 2030 года составит не менее 4,5 млрд рублей);</w:t>
            </w:r>
          </w:p>
          <w:p w:rsidR="002C1F31" w:rsidRDefault="009000CF">
            <w:pPr>
              <w:pStyle w:val="ConsPlusNormal0"/>
            </w:pPr>
            <w:r>
              <w:t>субъектами МСП обеспечено привлечение финансирования за счет поручительств (независимых гарантий) фондов содействия кредитован</w:t>
            </w:r>
            <w:r>
              <w:t>ию (гарантийных фондов, фондов поручительств) (объем финансовых ресурсов, привлеченных субъектами МСП под поручительства (независимые гарантии) Фонда содействия кредитованию малого и среднего бизнеса "Югорская региональная гарантийная организация", к концу</w:t>
            </w:r>
            <w:r>
              <w:t xml:space="preserve"> 2030 года составит не менее 21,1 млрд рублей);</w:t>
            </w:r>
          </w:p>
          <w:p w:rsidR="002C1F31" w:rsidRDefault="009000CF">
            <w:pPr>
              <w:pStyle w:val="ConsPlusNormal0"/>
            </w:pPr>
            <w:r>
              <w:t>субъектам МСП обеспечено предоставление финансовой поддержки (количество случаев к концу 2030 года составит не менее 1373 единиц)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lastRenderedPageBreak/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1.1.2.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Увеличен охват субъектов МСП услугами и мерами инфраструктуры поддержки субъектов МСП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субъектам МСП и гражданам, желающим вести бизнес, обеспечено оказан</w:t>
            </w:r>
            <w:r>
              <w:t>ие услуг и мер поддержки организациями инфраструктуры поддержки малого и среднего предпринимательства (количество получателей услуг и мер поддержки, оказанных Фондом поддержки предпринимательства Югры "Мой Бизнес", к концу 2030 года составит не менее 6,0 т</w:t>
            </w:r>
            <w:r>
              <w:t>ыс. единиц)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lastRenderedPageBreak/>
              <w:t>1.2.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 xml:space="preserve">Региональный проект "Креативные индустрии Югры" (куратор - </w:t>
            </w:r>
            <w:proofErr w:type="spellStart"/>
            <w:r>
              <w:t>Огородникова</w:t>
            </w:r>
            <w:proofErr w:type="spellEnd"/>
            <w:r>
              <w:t xml:space="preserve"> Наталья Юрьевна)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2020 - 2030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1.2.1.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Созданы условия для ускоренного развития субъектов малого и среднего предпринимательства в сфере креативных индустрий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к концу 2030 года:</w:t>
            </w:r>
          </w:p>
          <w:p w:rsidR="002C1F31" w:rsidRDefault="009000CF">
            <w:pPr>
              <w:pStyle w:val="ConsPlusNormal0"/>
            </w:pPr>
            <w:r>
              <w:t>не менее 250 субъектов креативных индустрий состоят в реестре субъектов креативных</w:t>
            </w:r>
            <w:r>
              <w:t xml:space="preserve"> индустрий;</w:t>
            </w:r>
          </w:p>
          <w:p w:rsidR="002C1F31" w:rsidRDefault="009000CF">
            <w:pPr>
              <w:pStyle w:val="ConsPlusNormal0"/>
            </w:pPr>
            <w:r>
              <w:t>не менее 3 500 юридических лиц, индивидуальных предпринимателей, осуществляющих деятельность по видам креативных (творческих) индустрий, предусмотренным частью 1 статьи 6 Федерального закона от 8 августа 2024 года N 330-ФЗ "О развитии креативны</w:t>
            </w:r>
            <w:r>
              <w:t>х (творческих) индустрий в Российской Федерации"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t>2.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bookmarkStart w:id="5" w:name="P233"/>
            <w:bookmarkEnd w:id="5"/>
            <w:r>
              <w:t>Направление (подпрограмма) "Развитие экспортного потенциала"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2.1.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 xml:space="preserve">Региональный проект "Системные меры развития международной кооперации и экспорта в Ханты-Мансийском автономном округе" (куратор - </w:t>
            </w:r>
            <w:proofErr w:type="spellStart"/>
            <w:r>
              <w:t>Огородникова</w:t>
            </w:r>
            <w:proofErr w:type="spellEnd"/>
            <w:r>
              <w:t xml:space="preserve"> Наталья Юрьевна)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2025 - 2030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2.1.1.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Создана и функционирует система инструментов развития внешнеэкономической деятельности, преимущественно ориентированная на </w:t>
            </w:r>
            <w:r>
              <w:lastRenderedPageBreak/>
              <w:t>развитие отношений с дружественными странами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lastRenderedPageBreak/>
              <w:t>к 2030 году внедрены 15 инструментов Регионального экспортного стандарта 3.0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 xml:space="preserve">темп роста </w:t>
            </w:r>
            <w:r>
              <w:t>дохода в расчете на одного работника субъекта малого и среднего предпринимательства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2.2.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 xml:space="preserve">Региональный проект "Развитие </w:t>
            </w:r>
            <w:proofErr w:type="spellStart"/>
            <w:r>
              <w:t>экспортно</w:t>
            </w:r>
            <w:proofErr w:type="spellEnd"/>
            <w:r>
              <w:t xml:space="preserve"> ориентированных производств в Югре" (куратор - </w:t>
            </w:r>
            <w:proofErr w:type="spellStart"/>
            <w:r>
              <w:t>Огородникова</w:t>
            </w:r>
            <w:proofErr w:type="spellEnd"/>
            <w:r>
              <w:t xml:space="preserve"> Наталья Юрьевна)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2023 - 2025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2.2.1.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Созданы условия для развития экспортной деятельности и содействия продвижению продукции </w:t>
            </w:r>
            <w:proofErr w:type="spellStart"/>
            <w:r>
              <w:t>несырьевого</w:t>
            </w:r>
            <w:proofErr w:type="spellEnd"/>
            <w:r>
              <w:t xml:space="preserve"> экспорта на зарубежные рынки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 xml:space="preserve">увеличение </w:t>
            </w:r>
            <w:proofErr w:type="spellStart"/>
            <w:r>
              <w:t>несырьевого</w:t>
            </w:r>
            <w:proofErr w:type="spellEnd"/>
            <w:r>
              <w:t xml:space="preserve"> неэнергетического экспорта продукции субъектами малого и среднего п</w:t>
            </w:r>
            <w:r>
              <w:t>редпринимательства не менее чем на 4,6% к 2026 году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t>3.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bookmarkStart w:id="6" w:name="P251"/>
            <w:bookmarkEnd w:id="6"/>
            <w:r>
              <w:t>Направление (подпрограмма) "Повышение инвестиционной привлекательности"</w:t>
            </w:r>
          </w:p>
        </w:tc>
      </w:tr>
      <w:tr w:rsidR="002C1F31">
        <w:tc>
          <w:tcPr>
            <w:tcW w:w="794" w:type="dxa"/>
          </w:tcPr>
          <w:p w:rsidR="002C1F31" w:rsidRDefault="002C1F31">
            <w:pPr>
              <w:pStyle w:val="ConsPlusNormal0"/>
            </w:pP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 xml:space="preserve">Региональный проект "Создание коммерческой инфраструктуры ИНТЦ "ЮНИТИ ПАРК" (куратор - </w:t>
            </w:r>
            <w:proofErr w:type="spellStart"/>
            <w:r>
              <w:t>Огородникова</w:t>
            </w:r>
            <w:proofErr w:type="spellEnd"/>
            <w:r>
              <w:t xml:space="preserve"> Наталья Юрьевна)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2024 - 2030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3.1.1.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Созданы условия для развития коммерческой инфраструктуры на территории инновационного научно-технологического центра "ЮНИТИ ПАРК"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к 2030 году созданы условия для обеспечения деятельности не менее 200 сервисных компаний и резидентов на территории инновацион</w:t>
            </w:r>
            <w:r>
              <w:t>ного научно-технологического центра "ЮНИТИ ПАРК"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</w:t>
            </w:r>
            <w:r>
              <w:t xml:space="preserve"> базовому </w:t>
            </w:r>
            <w:r>
              <w:lastRenderedPageBreak/>
              <w:t>году (2020 год - базовое значение)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lastRenderedPageBreak/>
              <w:t>3.2.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 xml:space="preserve">Ведомственный проект "Формирование инвестиционной привлекательности Югры" (куратор - </w:t>
            </w:r>
            <w:proofErr w:type="spellStart"/>
            <w:r>
              <w:t>Огородникова</w:t>
            </w:r>
            <w:proofErr w:type="spellEnd"/>
            <w:r>
              <w:t xml:space="preserve"> Наталья Юрьевна)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>Ответственный за реализацию:</w:t>
            </w:r>
          </w:p>
          <w:p w:rsidR="002C1F31" w:rsidRDefault="009000CF">
            <w:pPr>
              <w:pStyle w:val="ConsPlusNormal0"/>
            </w:pP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2024 - 2025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3.2.1.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Созданы благоприятные условия для реализации инвестиционных проектов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обеспечено участие автономного округа в мероприятиях регионального, межрегионального и международного уровня;</w:t>
            </w:r>
          </w:p>
          <w:p w:rsidR="002C1F31" w:rsidRDefault="009000CF">
            <w:pPr>
              <w:pStyle w:val="ConsPlusNormal0"/>
            </w:pPr>
            <w:r>
              <w:t>в государственной информационной системе автономного округа по обеспечению до</w:t>
            </w:r>
            <w:r>
              <w:t>ступности мер поддержки субъектов предпринимательской деятельности автономного округа "Югра Открытая" расширен доступ для получения мер государственной поддержки субъектов предпринимательства; внедрена система поддержки новых инвестиционных проектов в авто</w:t>
            </w:r>
            <w:r>
              <w:t>номном округе ("Региональный инвестиционный стандарт"), направленная на оптимизацию взаимодействия инвесторов с исполнительными органами автономного округа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</w:t>
            </w:r>
            <w:r>
              <w:t>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t>4.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bookmarkStart w:id="7" w:name="P271"/>
            <w:bookmarkEnd w:id="7"/>
            <w:r>
              <w:t>Направление (подпрограмма) "Совершенствование системы стратегического управления и развитие конкуренции"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4.1.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анализ</w:t>
            </w:r>
            <w:r>
              <w:t xml:space="preserve">а и </w:t>
            </w:r>
            <w:r>
              <w:lastRenderedPageBreak/>
              <w:t>прогнозирования социально-экономического развития автономного округа и содействия развитию конкуренции"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lastRenderedPageBreak/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2024 - 2030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4.1.1.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Обеспечение стратегического планирования и анализа социально-экономического развития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повышение эффективности стратегического планирования социально-экономического развития автономного округа, поощрение лидеров по результатам комплексной оценки эффективност</w:t>
            </w:r>
            <w:r>
              <w:t>и деятельности органов местного самоуправления городских округов и муниципальных районов автономного округа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</w:t>
            </w:r>
            <w:r>
              <w:t>ы) и бюджетных ассигнований федерального бюджета, процент к базовому году (2020 год - базовое значение);</w:t>
            </w:r>
          </w:p>
          <w:p w:rsidR="002C1F31" w:rsidRDefault="009000CF">
            <w:pPr>
              <w:pStyle w:val="ConsPlusNormal0"/>
            </w:pPr>
            <w: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4.1.2.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Обеспечение доступа негосударственных организаци</w:t>
            </w:r>
            <w:r>
              <w:t xml:space="preserve">й (коммерческих, некоммерческих) к предоставлению услуг в социальной сфере, в том числе предоставление государственных </w:t>
            </w:r>
            <w:r>
              <w:lastRenderedPageBreak/>
              <w:t xml:space="preserve">преференций субъектам МСП, признанным социальными предприятиями, путем предоставления в аренду имущества, находящегося в государственной </w:t>
            </w:r>
            <w:r>
              <w:t>собственности автономного округа, на льготных условиях без проведения торгов на право заключения таких договоров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lastRenderedPageBreak/>
              <w:t>сохранение лидерских позиций автономного округа в рейтинге Министерства экономического развития Российской Федерации по итогам реализации механ</w:t>
            </w:r>
            <w:r>
              <w:t xml:space="preserve">измов поддержки социально ориентированных некоммерческих организаций и социальных предприятий, обеспечения доступа </w:t>
            </w:r>
            <w:r>
              <w:lastRenderedPageBreak/>
              <w:t>негосударственных организаций к предоставлению услуг в социальной сфере и внедрения конкурентных способов оказания государственных (муниципал</w:t>
            </w:r>
            <w:r>
              <w:t>ьных) услуг в социальной сфере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lastRenderedPageBreak/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</w:t>
            </w:r>
            <w:r>
              <w:lastRenderedPageBreak/>
              <w:t>и бюджетных ассигнований федерального бюджета, процент к базовому году (2020 год - базовое значение);</w:t>
            </w:r>
          </w:p>
          <w:p w:rsidR="002C1F31" w:rsidRDefault="009000CF">
            <w:pPr>
              <w:pStyle w:val="ConsPlusNormal0"/>
            </w:pPr>
            <w:r>
              <w:t>тем</w:t>
            </w:r>
            <w:r>
              <w:t>п роста дохода в расчете на одного работника субъекта малого и среднего предпринимательства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lastRenderedPageBreak/>
              <w:t>5.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bookmarkStart w:id="8" w:name="P287"/>
            <w:bookmarkEnd w:id="8"/>
            <w:r>
              <w:t>Направление (подпрограмма) "Предоставление государственных и муниципальных услуг в многофункциональных центрах"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5.1.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>Комплекс процессных мероприятий "Организац</w:t>
            </w:r>
            <w:r>
              <w:t>ия предоставления государственных и муниципальных услуг в многофункциональных центрах"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2024 - 2030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5.1.1.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Повышение доступности и качества предоставления государственных и муниципальных услуг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обеспечение удовлетворенности граждан качеством государственных и муниципальных услуг по принципу "одного окна" (МФЦ) на уровне 99,5% к концу 2030 года. Сохранение доли г</w:t>
            </w:r>
            <w:r>
              <w:t>раждан, имеющих доступ к получению государственных и муниципальных услуг по принципу "одного окна" (МФЦ) по месту пребывания, не ниже 90%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 xml:space="preserve">уровень удовлетворенности населения автономного округа качеством предоставления государственных и муниципальных услуг </w:t>
            </w:r>
            <w:r>
              <w:t>по принципу "одного окна" (МФЦ)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t>6.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bookmarkStart w:id="9" w:name="P297"/>
            <w:bookmarkEnd w:id="9"/>
            <w:r>
              <w:t>Комплекс процессных мероприятий "Дополнительное пенсионное обеспечение отдельных категорий граждан"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lastRenderedPageBreak/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2024 - 2030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6.1.1.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Повышение среднего дохода пенсионера в результате внедрения дополнительных механизмов пенсионного обеспечения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ежегодно не менее 30% пенсионеров охвачены дополнительным пенсионным обеспечением за счет сохранности пенсионных средств и повышения инвестиционно</w:t>
            </w:r>
            <w:r>
              <w:t>й доходности пенсионных резервов и накоплений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-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t>7.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bookmarkStart w:id="10" w:name="P305"/>
            <w:bookmarkEnd w:id="10"/>
            <w:r>
              <w:t>Направление (подпрограмма) "Государственная поддержка северного завоза"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7.1.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>Комплекс процессных мероприятий "Содействие муниципальным образованиям, отнесенным к территориям с ограниченными сроками завоза грузов, по доставке продукции (товаров)"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2025 - 2030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7.1.1.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Снижение стоимости доставки продукции (товаров) на территории северного завоза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t>в 6 муниципальных образованиях автономного округа, расположенных на территориях северного завоза, обеспечено возмещение (компенсация) хозяйствующим субъектам части расходов по д</w:t>
            </w:r>
            <w:r>
              <w:t>оставке продукции (товаров)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t>-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outlineLvl w:val="3"/>
            </w:pPr>
            <w:r>
              <w:t>8.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>Структурные элементы, не входящие в направления (подпрограммы)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8.1.</w:t>
            </w:r>
          </w:p>
        </w:tc>
        <w:tc>
          <w:tcPr>
            <w:tcW w:w="9449" w:type="dxa"/>
            <w:gridSpan w:val="3"/>
          </w:tcPr>
          <w:p w:rsidR="002C1F31" w:rsidRDefault="009000CF">
            <w:pPr>
              <w:pStyle w:val="ConsPlusNormal0"/>
            </w:pPr>
            <w:r>
              <w:t>Комплекс процессных мероприятий "Обеспечение деятельности исполнительных органов Ханты-Мансийского автономного округа - Югры"</w:t>
            </w:r>
          </w:p>
        </w:tc>
      </w:tr>
      <w:tr w:rsidR="002C1F31">
        <w:tc>
          <w:tcPr>
            <w:tcW w:w="3723" w:type="dxa"/>
            <w:gridSpan w:val="2"/>
          </w:tcPr>
          <w:p w:rsidR="002C1F31" w:rsidRDefault="009000CF">
            <w:pPr>
              <w:pStyle w:val="ConsPlusNormal0"/>
            </w:pPr>
            <w:r>
              <w:t xml:space="preserve">Ответственный за реализацию: </w:t>
            </w:r>
            <w:proofErr w:type="spellStart"/>
            <w:r>
              <w:t>Депэкономики</w:t>
            </w:r>
            <w:proofErr w:type="spellEnd"/>
            <w:r>
              <w:t xml:space="preserve"> Югры</w:t>
            </w:r>
          </w:p>
        </w:tc>
        <w:tc>
          <w:tcPr>
            <w:tcW w:w="6520" w:type="dxa"/>
            <w:gridSpan w:val="2"/>
          </w:tcPr>
          <w:p w:rsidR="002C1F31" w:rsidRDefault="009000CF">
            <w:pPr>
              <w:pStyle w:val="ConsPlusNormal0"/>
            </w:pPr>
            <w:r>
              <w:t>срок реализации: 2024 - 2030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8.1.1.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Обеспечение </w:t>
            </w:r>
            <w:r>
              <w:lastRenderedPageBreak/>
              <w:t xml:space="preserve">осуществления функций и полномочий </w:t>
            </w:r>
            <w:proofErr w:type="spellStart"/>
            <w:r>
              <w:t>Депэкономики</w:t>
            </w:r>
            <w:proofErr w:type="spellEnd"/>
            <w:r>
              <w:t xml:space="preserve"> Югры, Региональной службы по тарифам автономного округа</w:t>
            </w:r>
          </w:p>
        </w:tc>
        <w:tc>
          <w:tcPr>
            <w:tcW w:w="3912" w:type="dxa"/>
          </w:tcPr>
          <w:p w:rsidR="002C1F31" w:rsidRDefault="009000CF">
            <w:pPr>
              <w:pStyle w:val="ConsPlusNormal0"/>
            </w:pPr>
            <w:r>
              <w:lastRenderedPageBreak/>
              <w:t xml:space="preserve">обеспечение деятельности </w:t>
            </w:r>
            <w:proofErr w:type="spellStart"/>
            <w:r>
              <w:lastRenderedPageBreak/>
              <w:t>Депэкономики</w:t>
            </w:r>
            <w:proofErr w:type="spellEnd"/>
            <w:r>
              <w:t xml:space="preserve"> Югры, Региональной</w:t>
            </w:r>
            <w:r>
              <w:t xml:space="preserve"> службы по тарифам автономного округа</w:t>
            </w:r>
          </w:p>
        </w:tc>
        <w:tc>
          <w:tcPr>
            <w:tcW w:w="2608" w:type="dxa"/>
          </w:tcPr>
          <w:p w:rsidR="002C1F31" w:rsidRDefault="009000CF">
            <w:pPr>
              <w:pStyle w:val="ConsPlusNormal0"/>
            </w:pPr>
            <w:r>
              <w:lastRenderedPageBreak/>
              <w:t>-</w:t>
            </w:r>
          </w:p>
        </w:tc>
      </w:tr>
    </w:tbl>
    <w:p w:rsidR="002C1F31" w:rsidRDefault="002C1F31">
      <w:pPr>
        <w:pStyle w:val="ConsPlusNormal0"/>
        <w:jc w:val="center"/>
      </w:pPr>
    </w:p>
    <w:p w:rsidR="002C1F31" w:rsidRDefault="009000CF">
      <w:pPr>
        <w:pStyle w:val="ConsPlusTitle0"/>
        <w:jc w:val="center"/>
        <w:outlineLvl w:val="2"/>
      </w:pPr>
      <w:r>
        <w:t>4. Финансовое обеспечение государственной программы</w:t>
      </w:r>
    </w:p>
    <w:p w:rsidR="002C1F31" w:rsidRDefault="002C1F31">
      <w:pPr>
        <w:pStyle w:val="ConsPlusNormal0"/>
        <w:jc w:val="center"/>
      </w:pPr>
    </w:p>
    <w:p w:rsidR="002C1F31" w:rsidRDefault="009000CF">
      <w:pPr>
        <w:pStyle w:val="ConsPlusNormal0"/>
        <w:jc w:val="center"/>
      </w:pPr>
      <w:r>
        <w:t>(в ред. постановления Правительства ХМАО - Югры</w:t>
      </w:r>
    </w:p>
    <w:p w:rsidR="002C1F31" w:rsidRDefault="009000CF">
      <w:pPr>
        <w:pStyle w:val="ConsPlusNormal0"/>
        <w:jc w:val="center"/>
      </w:pPr>
      <w:r>
        <w:t>от 14.01.2026 N 4-п)</w:t>
      </w:r>
    </w:p>
    <w:p w:rsidR="002C1F31" w:rsidRDefault="002C1F3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929"/>
        <w:gridCol w:w="1361"/>
        <w:gridCol w:w="1361"/>
        <w:gridCol w:w="1361"/>
        <w:gridCol w:w="1361"/>
        <w:gridCol w:w="1361"/>
        <w:gridCol w:w="1361"/>
        <w:gridCol w:w="1531"/>
      </w:tblGrid>
      <w:tr w:rsidR="002C1F31">
        <w:tc>
          <w:tcPr>
            <w:tcW w:w="794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29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9697" w:type="dxa"/>
            <w:gridSpan w:val="7"/>
          </w:tcPr>
          <w:p w:rsidR="002C1F31" w:rsidRDefault="009000CF">
            <w:pPr>
              <w:pStyle w:val="ConsPlusNormal0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2C1F31">
        <w:tc>
          <w:tcPr>
            <w:tcW w:w="794" w:type="dxa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2929" w:type="dxa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  <w:jc w:val="center"/>
            </w:pPr>
            <w:r>
              <w:t>Всего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  <w:jc w:val="center"/>
            </w:pPr>
            <w:r>
              <w:t>9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Государственная программа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8 088 458,6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8 418 869,7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8 743 258,0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8 677 309,1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8 675 149,1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8 675 149,1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51 278 193,6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5 566 009,1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5 876 869,6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6 170 857,9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6 100 309,0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6 098 149,0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6 098 149,0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35 910 343,6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311 159,5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220 000,0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1 411 159,5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Местный бюджет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9 380,0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9 380,0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1.3.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2 513 069,5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2 542 000,1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2 572 400,1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2 577 000,1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2 577 000,1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2 577 000,1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15 358 470,0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Объем налоговых </w:t>
            </w:r>
            <w:r>
              <w:lastRenderedPageBreak/>
              <w:t>расходов автономного округа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lastRenderedPageBreak/>
              <w:t>6 296 916,0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6 072 290,0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6 254 980,0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764 720,0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19 388 906,0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3.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Региональный проект "Малое и среднее предпринимательство и поддержка индивидуальной предпринимательской инициативы"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3 161 787,0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3 093 902,7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3 126 302,7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3 130 902,7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3 130 902,7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3 130 902,7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18 774 700,5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3.1.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695 107,0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594 602,7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596 602,7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596 602,7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596 602,7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596 602,7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3 676 120,5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3.1.1.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119 000,0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119 000,0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3.2.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Местный бюджет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9 380,0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9 380,0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3.3.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2 457 300,0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2 499 300,0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2 529 700,0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2 534 300,0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2 534 300,0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2 534 300,0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15 089 200,0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4.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Региональный проект "Креативные индустрии Югры"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12 500,0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44 660,0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44 660,0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44 660,0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42 500,0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42 500,0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231 480,0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4.1.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12 500,0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44 660,0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44 660,0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44 660,0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42 500,0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42 500,0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231 480,0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5.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Региональный проект "Системные меры развития международной кооперации и экспорта в Ханты-Мансийском автономном округе" </w:t>
            </w:r>
            <w:r>
              <w:lastRenderedPageBreak/>
              <w:t>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lastRenderedPageBreak/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6.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Региональный проект "Развитие </w:t>
            </w:r>
            <w:proofErr w:type="spellStart"/>
            <w:r>
              <w:t>экспортно</w:t>
            </w:r>
            <w:proofErr w:type="spellEnd"/>
            <w:r>
              <w:t xml:space="preserve"> ориентированных производств в Югре"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5 412,5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5 412,5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6.1.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5 412,5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5 412,5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7.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Региональный проект "Создание коммерческой инфраструктуры ИНТЦ "ЮНИТИ ПАРК" 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8.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Ведомственный проект "Формирование инвестиционной привлекательности Югры"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64 342,0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64 342,0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8.1.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64 342,0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64 342,0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9.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Комплекс процессных мероприятий "Осуществление функций по реализации единой государственной политики в сфере стратегического планирования, анализа и прогнозирования социально-эконо</w:t>
            </w:r>
            <w:r>
              <w:t xml:space="preserve">мического развития автономного округа и содействия развитию конкуренции" </w:t>
            </w:r>
            <w:r>
              <w:lastRenderedPageBreak/>
              <w:t>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lastRenderedPageBreak/>
              <w:t>113 849,7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94 094,0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586 016,5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9.1.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113 669,7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94 094,0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94 518,2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585 836,5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9.1.1.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20 000,0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120 000,0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9.2.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180,0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180,0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10.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Комплекс процессных мероприятий "Организация предоставления государственных и муниципальных услуг в многофункциональных центрах"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2 340 749,0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2 448 014,2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2 497 177,3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2 491 777,3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2 491 777,3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2 491 777,3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14 761 272,4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10.1.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2 285 159,5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2 405 314,1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2 454 477,2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2 449 077,2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2 449 077,2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2 449 077,2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14 492 182,4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10.2.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55 589,5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42 700,1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42 700,1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42 700,1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42 700,1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42 700,1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269 090,0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Комплекс процессных мероприятий "Дополнительное пенсионное обеспечение отдельных категорий граждан"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1 418 773,2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1 703 026,4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1 945 415,6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1 880 328,5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1 880 328,5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1 880 328,5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10 708 200,7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11.1.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1 418 773,2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1 703 026,4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1 945 415,6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1 880 328,5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1 880 328,5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1 880 328,5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10 708 200,7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12.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 xml:space="preserve">Комплекс процессных </w:t>
            </w:r>
            <w:r>
              <w:lastRenderedPageBreak/>
              <w:t>мероприятий "Содействие муниципальным образованиям, отнесенным к территориям с ограниченными сроками завоза грузов, по доставке продукции (товаров)"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lastRenderedPageBreak/>
              <w:t>172 159,5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1 172 159,5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12.1.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 (всего), из них: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172 159,5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1 172 159,5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12.1.1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межбюджетные трансферты местным бюджетам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172 159,5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200 000,0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1 172 159,5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13.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Комплекс процессных мероприятий "Обеспечение деятельности исполнительных органов Ханты-Мансийского автономного округа - Югры" (всего), в том числе: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798 885,7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835 172,4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835 184,2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835 122,4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835 122,4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835 122,4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4 974 609,5</w:t>
            </w:r>
          </w:p>
        </w:tc>
      </w:tr>
      <w:tr w:rsidR="002C1F31">
        <w:tc>
          <w:tcPr>
            <w:tcW w:w="794" w:type="dxa"/>
          </w:tcPr>
          <w:p w:rsidR="002C1F31" w:rsidRDefault="009000CF">
            <w:pPr>
              <w:pStyle w:val="ConsPlusNormal0"/>
            </w:pPr>
            <w:r>
              <w:t>13.1.</w:t>
            </w:r>
          </w:p>
        </w:tc>
        <w:tc>
          <w:tcPr>
            <w:tcW w:w="2929" w:type="dxa"/>
          </w:tcPr>
          <w:p w:rsidR="002C1F31" w:rsidRDefault="009000CF">
            <w:pPr>
              <w:pStyle w:val="ConsPlusNormal0"/>
            </w:pPr>
            <w:r>
              <w:t>Бюджет автономного округа</w:t>
            </w:r>
            <w:r>
              <w:t xml:space="preserve"> (всего)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798 885,7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835 172,4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835 184,2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835 122,4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835 122,4</w:t>
            </w:r>
          </w:p>
        </w:tc>
        <w:tc>
          <w:tcPr>
            <w:tcW w:w="1361" w:type="dxa"/>
          </w:tcPr>
          <w:p w:rsidR="002C1F31" w:rsidRDefault="009000CF">
            <w:pPr>
              <w:pStyle w:val="ConsPlusNormal0"/>
            </w:pPr>
            <w:r>
              <w:t>835 122,4</w:t>
            </w:r>
          </w:p>
        </w:tc>
        <w:tc>
          <w:tcPr>
            <w:tcW w:w="1531" w:type="dxa"/>
          </w:tcPr>
          <w:p w:rsidR="002C1F31" w:rsidRDefault="009000CF">
            <w:pPr>
              <w:pStyle w:val="ConsPlusNormal0"/>
            </w:pPr>
            <w:r>
              <w:t>4 974 609,5</w:t>
            </w:r>
          </w:p>
        </w:tc>
      </w:tr>
    </w:tbl>
    <w:p w:rsidR="002C1F31" w:rsidRDefault="002C1F31">
      <w:pPr>
        <w:pStyle w:val="ConsPlusNormal0"/>
        <w:sectPr w:rsidR="002C1F31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C1F31" w:rsidRDefault="002C1F31">
      <w:pPr>
        <w:pStyle w:val="ConsPlusNormal0"/>
        <w:ind w:firstLine="540"/>
        <w:jc w:val="both"/>
      </w:pPr>
    </w:p>
    <w:p w:rsidR="002C1F31" w:rsidRDefault="009000CF">
      <w:pPr>
        <w:pStyle w:val="ConsPlusTitle0"/>
        <w:jc w:val="center"/>
        <w:outlineLvl w:val="2"/>
      </w:pPr>
      <w:r>
        <w:t>5. Показатели государственной программы в разрезе</w:t>
      </w:r>
    </w:p>
    <w:p w:rsidR="002C1F31" w:rsidRDefault="009000CF">
      <w:pPr>
        <w:pStyle w:val="ConsPlusTitle0"/>
        <w:jc w:val="center"/>
      </w:pPr>
      <w:r>
        <w:t>муниципальных образований автономного округа</w:t>
      </w:r>
    </w:p>
    <w:p w:rsidR="002C1F31" w:rsidRDefault="002C1F31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054"/>
        <w:gridCol w:w="850"/>
        <w:gridCol w:w="907"/>
        <w:gridCol w:w="907"/>
        <w:gridCol w:w="907"/>
        <w:gridCol w:w="907"/>
        <w:gridCol w:w="907"/>
        <w:gridCol w:w="907"/>
      </w:tblGrid>
      <w:tr w:rsidR="002C1F31">
        <w:tc>
          <w:tcPr>
            <w:tcW w:w="737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2C1F31" w:rsidRDefault="009000CF">
            <w:pPr>
              <w:pStyle w:val="ConsPlusNormal0"/>
              <w:jc w:val="center"/>
            </w:pPr>
            <w:r>
              <w:t>Наименование муниципального образования автономного округа</w:t>
            </w:r>
          </w:p>
        </w:tc>
        <w:tc>
          <w:tcPr>
            <w:tcW w:w="1904" w:type="dxa"/>
            <w:gridSpan w:val="2"/>
          </w:tcPr>
          <w:p w:rsidR="002C1F31" w:rsidRDefault="009000CF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442" w:type="dxa"/>
            <w:gridSpan w:val="6"/>
          </w:tcPr>
          <w:p w:rsidR="002C1F31" w:rsidRDefault="009000CF">
            <w:pPr>
              <w:pStyle w:val="ConsPlusNormal0"/>
              <w:jc w:val="center"/>
            </w:pPr>
            <w:r>
              <w:t>Значение показателя по годам</w:t>
            </w:r>
          </w:p>
        </w:tc>
      </w:tr>
      <w:tr w:rsidR="002C1F31">
        <w:tc>
          <w:tcPr>
            <w:tcW w:w="737" w:type="dxa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2948" w:type="dxa"/>
            <w:vMerge/>
          </w:tcPr>
          <w:p w:rsidR="002C1F31" w:rsidRDefault="002C1F31">
            <w:pPr>
              <w:pStyle w:val="ConsPlusNormal0"/>
            </w:pPr>
          </w:p>
        </w:tc>
        <w:tc>
          <w:tcPr>
            <w:tcW w:w="1054" w:type="dxa"/>
          </w:tcPr>
          <w:p w:rsidR="002C1F31" w:rsidRDefault="009000CF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2030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  <w:jc w:val="center"/>
            </w:pPr>
            <w:r>
              <w:t>10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1031" w:type="dxa"/>
            <w:gridSpan w:val="10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 xml:space="preserve">1.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значение), </w:t>
            </w:r>
            <w:r>
              <w:t>процент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1031" w:type="dxa"/>
            <w:gridSpan w:val="10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(в ред. постановления Правительства ХМАО - Югры от 21.07.2025 N 271-п)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1.1.</w:t>
            </w:r>
          </w:p>
        </w:tc>
        <w:tc>
          <w:tcPr>
            <w:tcW w:w="2948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Ханты-Мансийский автономный округ - Югра</w:t>
            </w:r>
          </w:p>
        </w:tc>
        <w:tc>
          <w:tcPr>
            <w:tcW w:w="1054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119,9</w:t>
            </w:r>
          </w:p>
        </w:tc>
        <w:tc>
          <w:tcPr>
            <w:tcW w:w="850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131,3</w:t>
            </w:r>
          </w:p>
        </w:tc>
        <w:tc>
          <w:tcPr>
            <w:tcW w:w="90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137,5</w:t>
            </w:r>
          </w:p>
        </w:tc>
        <w:tc>
          <w:tcPr>
            <w:tcW w:w="90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143,9</w:t>
            </w:r>
          </w:p>
        </w:tc>
        <w:tc>
          <w:tcPr>
            <w:tcW w:w="90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150,6</w:t>
            </w:r>
          </w:p>
        </w:tc>
        <w:tc>
          <w:tcPr>
            <w:tcW w:w="90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157,6</w:t>
            </w:r>
          </w:p>
        </w:tc>
        <w:tc>
          <w:tcPr>
            <w:tcW w:w="907" w:type="dxa"/>
            <w:tcBorders>
              <w:bottom w:val="nil"/>
            </w:tcBorders>
          </w:tcPr>
          <w:p w:rsidR="002C1F31" w:rsidRDefault="009000CF">
            <w:pPr>
              <w:pStyle w:val="ConsPlusNormal0"/>
            </w:pPr>
            <w:r>
              <w:t>165,0</w:t>
            </w:r>
          </w:p>
        </w:tc>
      </w:tr>
      <w:tr w:rsidR="002C1F31">
        <w:tblPrEx>
          <w:tblBorders>
            <w:insideH w:val="nil"/>
          </w:tblBorders>
        </w:tblPrEx>
        <w:tc>
          <w:tcPr>
            <w:tcW w:w="11031" w:type="dxa"/>
            <w:gridSpan w:val="10"/>
            <w:tcBorders>
              <w:top w:val="nil"/>
            </w:tcBorders>
          </w:tcPr>
          <w:p w:rsidR="002C1F31" w:rsidRDefault="009000CF">
            <w:pPr>
              <w:pStyle w:val="ConsPlusNormal0"/>
              <w:jc w:val="both"/>
            </w:pPr>
            <w:r>
              <w:t>(п. 1.1 в ред. постановления Правительства ХМАО - Югры от 14.01.2026 N 4-п)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1.2.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Городской округ Ханты-Мансийск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148,85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159,99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165,06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167,76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168,93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169,33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169,78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1.3.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Городской округ Когалым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101,04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203,65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212,63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219,62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222,89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226,24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228,95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1.4.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Городской округ Лангепас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73,91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95,32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101,22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106,27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106,67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106,67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106,67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1.5.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Мегион</w:t>
            </w:r>
            <w:proofErr w:type="spellEnd"/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189,27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279,64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302,67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319,59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335,50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350,50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366,54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1.6.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Городской округ Нефтеюганск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93,45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139,13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149,26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157,78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165,99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173,95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182,30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1.7.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Городской округ Нижневартовск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121,77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137,04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144,65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151,98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157,32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162,38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166,94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1.8.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Нягань</w:t>
            </w:r>
            <w:proofErr w:type="spellEnd"/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149,81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174,12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193,19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197,44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204,60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215,18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231,38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lastRenderedPageBreak/>
              <w:t>1.9.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Покачи</w:t>
            </w:r>
            <w:proofErr w:type="spellEnd"/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100,94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113,48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122,17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127,99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133,14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137,86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143,19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1.10.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233,35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309,56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351,87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386,05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417,94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450,72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486,08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1.11.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Городской округ Радужный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102,61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118,45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126,32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137,60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143,25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148,36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153,48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1.12.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Городской округ Сургут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87,42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100,01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100,36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120,21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142,75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168,87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199,76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1.13.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Урай</w:t>
            </w:r>
            <w:proofErr w:type="spellEnd"/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87,73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102,31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114,62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121,73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129,24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135,34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144,09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1.14.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 xml:space="preserve">Городской округ </w:t>
            </w:r>
            <w:proofErr w:type="spellStart"/>
            <w:r>
              <w:t>Югорск</w:t>
            </w:r>
            <w:proofErr w:type="spellEnd"/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133,40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61,12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62,19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64,93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67,79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70,50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73,32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1.15.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Белоярский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51,90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64,80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69,86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75,34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81,59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88,21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96,60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1.16.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Березовский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300,46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203,20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73,42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74,05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74,34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74,34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74,34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1.17.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proofErr w:type="spellStart"/>
            <w:r>
              <w:t>Кондинский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138,16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162,32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180,23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195,41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211,47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227,33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244,39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1.18.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119,79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187,74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204,11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219,25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234,62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250,58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268,12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1.19.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Нижневартовский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129,19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137,64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145,39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147,42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148,76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149,47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150,67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1.20.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Октябрьский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98,25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119,87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124,12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126,59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128,49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129,90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131,31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1.21.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Советский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105,34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96,66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99,20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100,42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101,95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102,56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103,12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1.22.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133,45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140,75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148,41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154,18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159,42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164,20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169,13</w:t>
            </w:r>
          </w:p>
        </w:tc>
      </w:tr>
      <w:tr w:rsidR="002C1F31">
        <w:tc>
          <w:tcPr>
            <w:tcW w:w="737" w:type="dxa"/>
          </w:tcPr>
          <w:p w:rsidR="002C1F31" w:rsidRDefault="009000CF">
            <w:pPr>
              <w:pStyle w:val="ConsPlusNormal0"/>
            </w:pPr>
            <w:r>
              <w:t>1.23.</w:t>
            </w:r>
          </w:p>
        </w:tc>
        <w:tc>
          <w:tcPr>
            <w:tcW w:w="2948" w:type="dxa"/>
          </w:tcPr>
          <w:p w:rsidR="002C1F31" w:rsidRDefault="009000CF">
            <w:pPr>
              <w:pStyle w:val="ConsPlusNormal0"/>
            </w:pPr>
            <w:r>
              <w:t>Ханты-Мансийский муниципальный район</w:t>
            </w:r>
          </w:p>
        </w:tc>
        <w:tc>
          <w:tcPr>
            <w:tcW w:w="1054" w:type="dxa"/>
          </w:tcPr>
          <w:p w:rsidR="002C1F31" w:rsidRDefault="009000CF">
            <w:pPr>
              <w:pStyle w:val="ConsPlusNormal0"/>
            </w:pPr>
            <w:r>
              <w:t>167,17</w:t>
            </w:r>
          </w:p>
        </w:tc>
        <w:tc>
          <w:tcPr>
            <w:tcW w:w="850" w:type="dxa"/>
          </w:tcPr>
          <w:p w:rsidR="002C1F31" w:rsidRDefault="009000CF">
            <w:pPr>
              <w:pStyle w:val="ConsPlusNormal0"/>
            </w:pPr>
            <w:r>
              <w:t>2023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186,97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193,32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196,74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197,70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197,70</w:t>
            </w:r>
          </w:p>
        </w:tc>
        <w:tc>
          <w:tcPr>
            <w:tcW w:w="907" w:type="dxa"/>
          </w:tcPr>
          <w:p w:rsidR="002C1F31" w:rsidRDefault="009000CF">
            <w:pPr>
              <w:pStyle w:val="ConsPlusNormal0"/>
            </w:pPr>
            <w:r>
              <w:t>196,12</w:t>
            </w:r>
          </w:p>
        </w:tc>
      </w:tr>
    </w:tbl>
    <w:p w:rsidR="002C1F31" w:rsidRDefault="002C1F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C1F31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CF" w:rsidRDefault="009000CF">
      <w:r>
        <w:separator/>
      </w:r>
    </w:p>
  </w:endnote>
  <w:endnote w:type="continuationSeparator" w:id="0">
    <w:p w:rsidR="009000CF" w:rsidRDefault="0090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9000C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2C1F31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9000C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2C1F31" w:rsidP="00EA1CFA">
    <w:pPr>
      <w:pStyle w:val="ConsPlusNormal0"/>
      <w:pBdr>
        <w:bottom w:val="single" w:sz="12" w:space="16" w:color="auto"/>
      </w:pBdr>
      <w:rPr>
        <w:sz w:val="2"/>
        <w:szCs w:val="2"/>
      </w:rPr>
    </w:pPr>
  </w:p>
  <w:p w:rsidR="002C1F31" w:rsidRDefault="009000C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9000C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9000C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CF" w:rsidRDefault="009000CF">
      <w:r>
        <w:separator/>
      </w:r>
    </w:p>
  </w:footnote>
  <w:footnote w:type="continuationSeparator" w:id="0">
    <w:p w:rsidR="009000CF" w:rsidRDefault="0090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2C1F3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2C1F3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Pr="00EA1CFA" w:rsidRDefault="002C1F31" w:rsidP="00EA1CF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Default="002C1F3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Pr="00EA1CFA" w:rsidRDefault="002C1F31" w:rsidP="00EA1CF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31" w:rsidRPr="00EA1CFA" w:rsidRDefault="002C1F31" w:rsidP="00EA1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F31"/>
    <w:rsid w:val="00087807"/>
    <w:rsid w:val="002C1F31"/>
    <w:rsid w:val="009000CF"/>
    <w:rsid w:val="00EA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B408"/>
  <w15:docId w15:val="{9EB797DC-E3E3-4E5E-A738-D293B431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A1C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CFA"/>
  </w:style>
  <w:style w:type="paragraph" w:styleId="a5">
    <w:name w:val="footer"/>
    <w:basedOn w:val="a"/>
    <w:link w:val="a6"/>
    <w:uiPriority w:val="99"/>
    <w:unhideWhenUsed/>
    <w:rsid w:val="00EA1C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D605-1801-4367-AD24-20992513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10.11.2023 N 557-п
(ред. от 14.01.2026)
"О государственной программе Ханты-Мансийского автономного округа - Югры "Развитие экономического потенциала"</vt:lpstr>
    </vt:vector>
  </TitlesOfParts>
  <Company>КонсультантПлюс Версия 4025.00.30</Company>
  <LinksUpToDate>false</LinksUpToDate>
  <CharactersWithSpaces>32654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10.11.2023 N 557-п
(ред. от 14.01.2026)
"О государственной программе Ханты-Мансийского автономного округа - Югры "Развитие экономического потенциала"</dc:title>
  <cp:lastModifiedBy>Магамедова Алина Рамазановна</cp:lastModifiedBy>
  <cp:revision>3</cp:revision>
  <dcterms:created xsi:type="dcterms:W3CDTF">2026-02-19T06:05:00Z</dcterms:created>
  <dcterms:modified xsi:type="dcterms:W3CDTF">2026-02-19T06:12:00Z</dcterms:modified>
</cp:coreProperties>
</file>