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Отчет об итогах работы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управления по природопользованию и экологии администрации города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  <w:t xml:space="preserve">за 2023 год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Деятельность администрации города в сфере охраны окружающей среды продолжает меняться и реформироваться. Стабильная динамика роста экологического благополучия привела город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победам в окружных экологических конкурсах: Нижневартовск в очередной раз стал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бедителем конкурса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Лучшее муниципальное образование автономного округа в сфере отношений, связанных с охраной окружающей среды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лидером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Международной экологической акции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Спасти и сохранить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Развитие комплексной системы обращения с ТКО и взаимодейст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вие </w:t>
      </w:r>
      <w:r>
        <w:rPr>
          <w:rFonts w:ascii="Times New Roman" w:hAnsi="Times New Roman" w:cs="Times New Roman"/>
          <w:i/>
          <w:color w:val="000000" w:themeColor="text1"/>
          <w:sz w:val="28"/>
        </w:rPr>
        <w:br/>
        <w:t xml:space="preserve">с региональным оператором остается одной из ключевых задач администрации города.</w:t>
      </w:r>
      <w:r>
        <w:rPr>
          <w:rFonts w:ascii="Times New Roman" w:hAnsi="Times New Roman" w:cs="Times New Roman"/>
          <w:i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2020 году прекращена работа Нижневартовского полигона по утилизации и захоронению отходов производства и потребления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и он выведен из эксплуатации. За 49 лет на полигон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 накоплено 2 311 тыс. кубических метров отходов.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рамках реализации регионального и федерального проектов "Чистая страна" национального проекта "Экология" с 2022 года ведутся работы по рекультивации полигона по утилизации и захоронению отходов производст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ва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и потребления г. Нижневартовска. Администрацией города 25.02.2022 заключен муниципальный контракт на выполнение работ по рекультивации </w:t>
        <w:br/>
        <w:t xml:space="preserve">с ООО "ЭкоСтрой". Комплекс мероприятий (общей продолжительностью </w:t>
        <w:br/>
        <w:t xml:space="preserve">2 года) по выполнению технического и биологического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этапов рекультивации, а также вспомогательные работы выполняются единовременно (в рамках одного муниципального контракта с выделением этапов работ). Уже завершены работы по формированию геометрии склада отходов путем расчистки части занятой территории от 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валочного грунта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и его перемещению, по уплотнению вновь уложенных отходов на теле полигона, по укладке </w:t>
        <w:br/>
        <w:t xml:space="preserve">газо-дренажной и водо-дренажной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прослоек из щебня по поверхности спланированного тела полигона, укладке глинистого грунта между прослойками из щебня.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Завершающие работы по рекультивации полигона </w:t>
        <w:br/>
        <w:t xml:space="preserve">и ликвидации накопленного вреда окружающей среде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будут проведены до конца года.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целью проводимых работ является восстановление нарушенных земель с возможностью их дальнейшего использования, а также 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ижение целевых показателей национального проекта "Экология".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Продолжается начатая с января 2021 года реализация пилотного проекта по внедрению раздельного (двухконтейнерного) накопления ТКО. В проекте задействовано порядка 15 тыс. жителей, проживающих в 72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домах. Вывоз отходов с экспериментальных микрорайонов из контейнеров со смешанными сухими и влажными (органическими) отходами осуществляется 2 разными мусоровозами на мусоросортивочный комплекс где они подлежат разделению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и учету по фракциям.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Отсортирова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нные фракции, содержащие полезные компоненты, направляют на утилизацию в другие регионы Российской Федерации, остальные отходы размещаются на полигоне пгт. Высокий (ООО "ЖКАП").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результате эксперимента процент отбора полезных фракций из контейнеров для 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акопления ТКО увеличился с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3,6% до 7,97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%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контейнерах для смешанных (сухих) отходов. Всего с пилотных площадок в 2023 году отобрано 164,5 т вторичных ресурсов, из них 56,1 т отходов бумаги, 42 т отходов пластика, 4,3 т отходов металла, 62,1 т отходов стек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ла.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Внедрение раздельного (двухконтейнерного) накопления ТКО на территории всего города будет возможно после введения в эксплуатацию комплексного межмуниципального полигона ТКО для городов Нижневартовска и Мегиона, поселений Нижневартовского района Ханты-М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ансийского автономного округа - Югры. 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В целях раздельного накопления отходов по видам на территории города установлено 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53 контейнера для раздельного накопления отходов, из них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419 контейнеров для отходов пластика, 322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специализированных контейнера для оп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асных отходов, 12 контейнеров для отходов бумаги и картона.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Благодаря взаимодействию управления по природопользованию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и экологии администрации города и экопартнеров ООО "Региональные грузоперевозки" и регионального оператора по обращению с ТКО АО "Югра-Эк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ология", в городе в 2022-2023 годах открыты и успешно функционируют пункты по приему вторичного сырья: три Экопункта и Экоцентр "Югра собирает". Экоцентр "Югра собирает" стал не просто пунктом приема вторичного сырья, но и образовательной площадкой, где со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трудники пункта просвещают население о правилах обращения с отходами. </w:t>
      </w:r>
      <w:r>
        <w:rPr>
          <w:rFonts w:ascii="Times New Roman" w:hAnsi="Times New Roman" w:cs="Times New Roman"/>
          <w:strike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2023 году Экопункты и Экоцентр посетили свыше 8 тыс. чел., передано на обработку: более 151 т макулатуры, 11 т пластика, 16 т стекла, 0,92 т алюминия. Жителям выплачено более 312 тыс.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рублей. На безвозмездной основе у населения принимаются батарейки и пластиковые крышечки в рамках благотворительного проекта "Добрые крышечки". </w:t>
        <w:br/>
        <w:t xml:space="preserve">С сентября 2023 года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Экопунктах принимается электролом.</w:t>
      </w:r>
      <w:r>
        <w:rPr>
          <w:rFonts w:ascii="Times New Roman" w:hAnsi="Times New Roman" w:cs="Times New Roman"/>
          <w:color w:val="000000" w:themeColor="text1"/>
          <w:sz w:val="28"/>
          <w:highlight w:val="cyan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Продолжается практика создания мест (площадок) накопления ТКО для жителей ИЖС в старой части города. К обустроенным в 2022 году </w:t>
      </w:r>
      <w:r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9 современным мобильным, антивандальным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модульным контейнерным площадкам 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с возможностью раздельного накопления отходов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в 2023 г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оду МБУ "УЛПХ г. Нижневартовска" обустроена еще одна контейнерная площадка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. Комплексы полностью закрытые, что предотвращает растаскивание отходов животными, попадание в контейнеры осадков. Площадки оснащены модулями для крупногабаритных и опасных отходов (</w:t>
      </w:r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ртутьсодержащих ламп, термометров, батареек).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Содержание 25 контейнерных площадок в старой части города осуществляется МБУ "УЛПХ г. Нижневартовска" в рамках заключенного муниципального контракта. 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Администрацией города сформирован и еженедельно обновляется реестр мест (площадок) накопл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ения ТКО на территории города Нижневартовска (далее - реестр). Реестр содержит 2348 мест (площадок) накопления ТКО, из них в 2023 году в реестр включено 123 новых мест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а (площадки) накопления ТКО, актуализирована информация о 199 действующих контейнерных площадках.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</w:pP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В отчетном году проведена работа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с хозяйствующими субъектами - собственниками контейнерных площадок, по приведению всех контейнерных площадок, расположенных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 территории города,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правилами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нормами действующего санитарно-эпидемиологического законодательства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а также оснащению информационными щитами с номером контейнерной площадки в соответствии с реестром. Необходимость нумерации контейнерн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ых площадок для накопления ТКО закреплена в Правилах благоустройства территории города.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  <w:t xml:space="preserve">В результате проведенных мероприятий доля мест (площадок) накопления ТКО, соответствующих требованиям законодательства, возросла на 41%. </w:t>
      </w:r>
      <w:r>
        <w:rPr>
          <w:rFonts w:ascii="Times New Roman" w:hAnsi="Times New Roman" w:cs="Times New Roman"/>
          <w:color w:val="000000" w:themeColor="text1"/>
          <w:sz w:val="28"/>
          <w:highlight w:val="white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2023 году на территории горо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да: образовано 76,98 тыс. т отходов, направлено на </w:t>
      </w:r>
      <w:r>
        <w:rPr>
          <w:rFonts w:ascii="Times New Roman" w:hAnsi="Times New Roman" w:cs="Times New Roman"/>
          <w:bCs/>
          <w:iCs/>
          <w:color w:val="000000" w:themeColor="text1"/>
          <w:sz w:val="28"/>
        </w:rPr>
        <w:t xml:space="preserve">обработку на мусоросортировочный комплекс ООО "Баркас+" 76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,73 тыс. т</w:t>
      </w:r>
      <w:r>
        <w:rPr>
          <w:rFonts w:ascii="Times New Roman" w:hAnsi="Times New Roman" w:cs="Times New Roman"/>
          <w:bCs/>
          <w:iCs/>
          <w:color w:val="000000" w:themeColor="text1"/>
          <w:sz w:val="28"/>
        </w:rPr>
        <w:t xml:space="preserve">. В результате обработки отходов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направлено на утилизацию на ведущие заводы страны 5,33 тыс. т вторсырья.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Размещение образующихся неутиль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ных фракций отходов осуществляется на полигоне ТКО г. Мегиона, расположенном в пгт. Высокий (ООО "ЖКАП").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Несмотря на значительные преобразования сферы обращения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  <w:t xml:space="preserve">с отходами остается актуальным вопрос ликвидации несанкционированных свало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к.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35" w:lineRule="auto"/>
        <w:tabs>
          <w:tab w:val="left" w:pos="851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целях ликвида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ции несанкционированных свалок в 2023 году во исполнение 2 муниципальных контрактов на общую сумму 6 927,72 тыс. рублей ликвидированы 58 несанкционированных свалок. Виды работ </w:t>
        <w:br/>
        <w:t xml:space="preserve">и достигнутые показатели приведены в таблице.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3"/>
        <w:gridCol w:w="7260"/>
        <w:gridCol w:w="1695"/>
      </w:tblGrid>
      <w:tr>
        <w:trPr/>
        <w:tc>
          <w:tcPr>
            <w:shd w:val="clear" w:color="ffffff" w:fill="d9d9d9" w:themeFill="background1" w:themeFillShade="D9"/>
            <w:tcW w:w="673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№ п/п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lightGray"/>
              </w:rPr>
            </w:r>
            <w:r/>
          </w:p>
        </w:tc>
        <w:tc>
          <w:tcPr>
            <w:shd w:val="clear" w:color="ffffff" w:fill="d9d9d9" w:themeFill="background1" w:themeFillShade="D9"/>
            <w:tcW w:w="7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Наименование вида работ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lightGray"/>
              </w:rPr>
            </w:r>
            <w:r/>
          </w:p>
        </w:tc>
        <w:tc>
          <w:tcPr>
            <w:shd w:val="clear" w:color="ffffff" w:fill="d9d9d9" w:themeFill="background1" w:themeFillShade="D9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 xml:space="preserve">Показатель</w:t>
            </w:r>
            <w:r>
              <w:rPr>
                <w:rFonts w:ascii="Times New Roman" w:hAnsi="Times New Roman" w:cs="Times New Roman"/>
                <w:bCs/>
                <w:color w:val="000000" w:themeColor="text1"/>
                <w:highlight w:val="lightGray"/>
              </w:rPr>
            </w:r>
            <w:r/>
          </w:p>
        </w:tc>
      </w:tr>
      <w:tr>
        <w:trPr/>
        <w:tc>
          <w:tcPr>
            <w:shd w:val="clear" w:color="ffffff" w:fill="ffffff"/>
            <w:tcW w:w="67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7260" w:type="dxa"/>
            <w:textDirection w:val="lrTb"/>
            <w:noWrap w:val="false"/>
          </w:tcPr>
          <w:p>
            <w:pPr>
              <w:jc w:val="both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Очистка захламленной и загрязненной территории от отходов различных классов опасности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2,29 га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/>
        <w:tc>
          <w:tcPr>
            <w:shd w:val="clear" w:color="ffffff" w:fill="ffffff"/>
            <w:tcW w:w="67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7260" w:type="dxa"/>
            <w:textDirection w:val="lrTb"/>
            <w:noWrap w:val="false"/>
          </w:tcPr>
          <w:p>
            <w:pPr>
              <w:jc w:val="both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Транспортирование и размещение отходов различных классов опасности на санкционированный полигон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2 720 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>
          <w:trHeight w:val="486"/>
        </w:trPr>
        <w:tc>
          <w:tcPr>
            <w:shd w:val="clear" w:color="ffffff" w:fill="ffffff"/>
            <w:tcW w:w="67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7260" w:type="dxa"/>
            <w:textDirection w:val="lrTb"/>
            <w:noWrap w:val="false"/>
          </w:tcPr>
          <w:p>
            <w:pPr>
              <w:jc w:val="both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Сбор, транспортирование и передача на обезвреживание отработанных люминесцентных ламп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719 шт.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/>
        <w:tc>
          <w:tcPr>
            <w:shd w:val="clear" w:color="ffffff" w:fill="ffffff"/>
            <w:tcW w:w="67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7260" w:type="dxa"/>
            <w:textDirection w:val="lrTb"/>
            <w:noWrap w:val="false"/>
          </w:tcPr>
          <w:p>
            <w:pPr>
              <w:jc w:val="both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Сбор, транспортирование и передача на размещение отработанных автомобильных покрышек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50 т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  <w:tr>
        <w:trPr/>
        <w:tc>
          <w:tcPr>
            <w:shd w:val="clear" w:color="ffffff" w:fill="ffffff"/>
            <w:tcW w:w="673" w:type="dxa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7260" w:type="dxa"/>
            <w:textDirection w:val="lrTb"/>
            <w:noWrap w:val="false"/>
          </w:tcPr>
          <w:p>
            <w:pPr>
              <w:jc w:val="both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Сбор, транспортирование и передача на обезвреживание биологических отходов 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  <w:tc>
          <w:tcPr>
            <w:shd w:val="clear" w:color="ffffff" w:fill="ffffff"/>
            <w:tcW w:w="1695" w:type="dxa"/>
            <w:vAlign w:val="center"/>
            <w:textDirection w:val="lrTb"/>
            <w:noWrap w:val="false"/>
          </w:tcPr>
          <w:p>
            <w:pPr>
              <w:jc w:val="center"/>
              <w:spacing w:after="0" w:line="235" w:lineRule="auto"/>
              <w:tabs>
                <w:tab w:val="left" w:pos="851" w:leader="none"/>
              </w:tabs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1 800 кг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/>
          </w:p>
        </w:tc>
      </w:tr>
    </w:tbl>
    <w:p>
      <w:pPr>
        <w:jc w:val="both"/>
        <w:spacing w:after="0" w:line="235" w:lineRule="auto"/>
        <w:tabs>
          <w:tab w:val="left" w:pos="851" w:leader="none"/>
        </w:tabs>
      </w:pPr>
      <w:r>
        <w:rPr>
          <w:rFonts w:ascii="Times New Roman" w:hAnsi="Times New Roman" w:cs="Times New Roman"/>
          <w:color w:val="000000" w:themeColor="text1"/>
          <w:sz w:val="12"/>
          <w:szCs w:val="12"/>
        </w:rPr>
      </w:r>
      <w:r>
        <w:rPr>
          <w:rFonts w:ascii="Times New Roman" w:hAnsi="Times New Roman" w:cs="Times New Roman"/>
          <w:color w:val="000000" w:themeColor="text1"/>
          <w:sz w:val="12"/>
          <w:szCs w:val="12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bidi="ru-RU"/>
        </w:rPr>
        <w:t xml:space="preserve">Меры по снижению негативного воздействия на окружающую среду неразрывно связаны с оздоровлением экологической обстановки, поэтому большое внимание уделялось вопросам озе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bidi="ru-RU"/>
        </w:rPr>
        <w:t xml:space="preserve">ленения города.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</w:r>
      <w:r/>
    </w:p>
    <w:p>
      <w:pPr>
        <w:ind w:right="-1" w:firstLine="709"/>
        <w:jc w:val="both"/>
        <w:spacing w:after="0" w:line="235" w:lineRule="auto"/>
        <w:tabs>
          <w:tab w:val="left" w:pos="-3402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рамках кампании по озеленению территории города Нижневартовска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2023 года высажено 6 609 деревьев и кустарников, из них: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- 3 498 - на улично-дорожной сети и территориях общего пользования;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- 1 941 - в микрорайонах города;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- 1 170 - на территориях муниципальных учреждений.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Отметим, что с 2020 года содержание и развитие зеленого фонда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благоустройство городских лесов выполняется специально созданным для этих целей муниципальным бюджетным учреждением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 лесоп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аркового хозяйства города Нижневартовска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 (далее - МБУ "УЛПХ </w:t>
        <w:br/>
        <w:t xml:space="preserve">г. Нижневартовска"). 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Так, силами МБУ "УЛПХ г. Нижневартовска"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с утвержденным муниципальным заданием высажено 100 деревьев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br/>
        <w:t xml:space="preserve">и кустарников, еще 251 шт. - высажено дополнительно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итогу рассмотрений обращений граждан, а также для обеспечения реализации ранее запланированных общегородских мероприятий по озеленению. Кроме того, 570 деревьев и кустарников было высажено в рамках работ по содержанию объектов озеленения (замена погибших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поврежденных растений в границах улично-дорожной сети и территорий общего пользования).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2023 году реализовано 3 общегородских мероприятия по посадке деревьев и кустарников: 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торжественное открытие ХХ Международной экологической акции "Спасти и сохрани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ть" (высажено 65 яблонь на участке ул. Г.И. Пикмана);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мероприятие в рамках сотрудничества с АО "Самотлорнефтегаз" на территории, прилегающей к монументу "Покорителям Самотлора" (высажено      50 яблонь);</w:t>
      </w:r>
      <w:r>
        <w:rPr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акция "Сады предпринимателей" на территории Парк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Победы (высажено 30 саженцев ели).</w:t>
      </w:r>
      <w:r>
        <w:rPr>
          <w:color w:val="000000" w:themeColor="text1"/>
        </w:rPr>
      </w:r>
      <w:r/>
    </w:p>
    <w:p>
      <w:pPr>
        <w:ind w:right="-1"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городских лесах реализован 3 этап обустройства лесного комплекса Ягом (рабочее название - экологическая тропа в городе Нижневартовске).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За 3 года на территории ЛК Ягом обустроено 4 функциональные зоны:</w:t>
      </w:r>
      <w:r>
        <w:rPr>
          <w:color w:val="000000" w:themeColor="text1"/>
        </w:rPr>
      </w:r>
      <w:r/>
    </w:p>
    <w:p>
      <w:pPr>
        <w:ind w:right="-1" w:firstLine="720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рекреационна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зона с размещением в ней глэмпинга с 1 общественным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4 жилыми модулями, прогулочных троп, площадок отдыха,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смотровых площадок, поляны новобрачных и ленд-арта;</w:t>
      </w:r>
      <w:r>
        <w:rPr>
          <w:color w:val="000000" w:themeColor="text1"/>
        </w:rPr>
      </w:r>
      <w:r/>
    </w:p>
    <w:p>
      <w:pPr>
        <w:ind w:right="-1" w:firstLine="720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спортивная зона, включающая в себя спортивные и лыжные трассы;</w:t>
      </w:r>
      <w:r>
        <w:rPr>
          <w:color w:val="000000" w:themeColor="text1"/>
        </w:rPr>
      </w:r>
      <w:r/>
    </w:p>
    <w:p>
      <w:pPr>
        <w:ind w:right="-1" w:firstLine="720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зона массовых мероприятий,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представляющая собой пространство для форумов и фестивалей с центральной площадкой и оборудованной сценой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ind w:right="-1" w:firstLine="720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научно-практическая зона, на которой выделены орнитологический 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энтомологический выделы, а также дендрологическая площадка).</w:t>
      </w:r>
      <w:r>
        <w:rPr>
          <w:color w:val="000000" w:themeColor="text1"/>
        </w:rPr>
      </w:r>
      <w:r/>
    </w:p>
    <w:p>
      <w:pPr>
        <w:ind w:right="-1"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создана необ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ходимая инженерная инфраструктура,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выполнено освещение, имеется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видеонаблюдение,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физическая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охрана, автономный санитарный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модуль.</w:t>
      </w:r>
      <w:r>
        <w:rPr>
          <w:color w:val="000000" w:themeColor="text1"/>
        </w:rPr>
      </w:r>
      <w:r/>
    </w:p>
    <w:p>
      <w:pPr>
        <w:ind w:right="-1"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ЛК Ягом является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одн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им из самых притягательных пространств.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t xml:space="preserve">для отдыха и спорта. Он ежедневно открыт для свободного посещения жителям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</w:rPr>
        <w:br/>
        <w:t xml:space="preserve">и гостям города. В выходные дни его территорию посещают до 1 тыс. человек.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на территории Ягом состоялось 8 общественных мероприятий,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которых приняло участие более 3,3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человек.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20"/>
        <w:jc w:val="both"/>
        <w:spacing w:after="0" w:line="235" w:lineRule="auto"/>
        <w:widowControl w:val="off"/>
        <w:tabs>
          <w:tab w:val="left" w:pos="993" w:leader="none"/>
        </w:tabs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t xml:space="preserve">Лесной комплекс Ягом состоит в Реестре туристских ресурсов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6"/>
        </w:rPr>
        <w:br/>
        <w:t xml:space="preserve">и организаций туристской индустрии Ханты-Мансийского автономного округа - Югры, информация о нем размещена на Единой цифровой туристической платформе автономного округа.</w:t>
      </w:r>
      <w:r>
        <w:rPr>
          <w:color w:val="000000" w:themeColor="text1"/>
        </w:rPr>
      </w:r>
      <w:r/>
    </w:p>
    <w:p>
      <w:pPr>
        <w:pStyle w:val="1_633"/>
        <w:ind w:firstLine="709"/>
        <w:jc w:val="both"/>
        <w:spacing w:before="0" w:beforeAutospacing="0" w:after="0" w:afterAutospacing="0" w:line="235" w:lineRule="auto"/>
        <w:shd w:val="clear" w:color="auto" w:fill="ffffff"/>
      </w:pPr>
      <w:r>
        <w:rPr>
          <w:i/>
          <w:color w:val="000000" w:themeColor="text1"/>
          <w:sz w:val="28"/>
          <w:szCs w:val="28"/>
        </w:rPr>
        <w:t xml:space="preserve">Эффективность мер по охране окружающей среды во многом зависит от решения задач по формированию экологической культуры, </w:t>
      </w:r>
      <w:r>
        <w:rPr>
          <w:rFonts w:eastAsiaTheme="minorHAnsi"/>
          <w:bCs/>
          <w:i/>
          <w:iCs/>
          <w:color w:val="000000" w:themeColor="text1"/>
          <w:sz w:val="28"/>
          <w:szCs w:val="28"/>
          <w:lang w:eastAsia="en-US" w:bidi="ru-RU"/>
        </w:rPr>
        <w:t xml:space="preserve">развития экологического воспитания и просвещения населения. </w:t>
      </w:r>
      <w:r>
        <w:rPr>
          <w:rFonts w:eastAsiaTheme="minorHAnsi"/>
          <w:bCs/>
          <w:i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Природнадзором Югры город Нижневартовск признан лидером по итогам реализаци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проекта 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XX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Международной экологической акции "Спасти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и сохранить" в 2023 году среди муниципальных образований Югры.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В 2023 году открытие ежегодной Международной экологической акции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Спасти и сохранить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дало старт более 40 основным мероприятиям для различных социальных и возрастных групп населения, которые организованы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br/>
        <w:t xml:space="preserve">и проведены на территории города Нижневартовска с мая по ноябрь.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образовательных учреждениях администрацией города совместно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с предс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тавителями специализированных организаций традиционно проведена экологическая акция по сбору макулатуры #PRO_бумагу. Всего в 2023 году силами образовательных учреждений собрано около 203 т макулатуры.</w:t>
      </w:r>
      <w:r>
        <w:rPr>
          <w:rFonts w:ascii="Times New Roman" w:hAnsi="Times New Roman" w:cs="Times New Roman"/>
          <w:color w:val="000000" w:themeColor="text1"/>
          <w:sz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весенне - осенний период прошли ежегодные субботники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рамках Всероссийской акции "Вода России" регионального проекта "Сохранение уникальных водных объектов" национального проекта "Экология",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реализуемого на территории города Нижневартовска с 2018 года.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ходе 10 субботников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участии 1 100 волонтеров было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очищено 12,1 км прибрежной полосы водных объектов: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р. Обь, р. Малый Еган, р. Рязанский Еган, р. Мысовая Мега, оз. Комсомольское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которых собрано 58 м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отходов.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экологических и иных общественных мероприятий на территории лесного комплекс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Ягом была специально обустроена форум зона, которая предоставляется всем желающим на безвозмездной основе. Модули оснащены всем необходимым оборудованием для проведения форумов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конференций с размещением участников численностью до 80 человек. В течение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данном пространстве уже было проведено 8 общественных мероприятий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окружной форум "Внутренний экологический туризм", фестиваль йоги "День солнца", экстремальный забег "Сила Самотлора-2023", арт-фестиваль "Дана", VII туристский слет "Турслет поко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лений", фестиваль этноспорта "Зов предков", тимбилдинги)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которых приняли участие более 3 тыс. человек.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доля населения, вовлеченного в эколого-просветительские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эколого-образовательные мероприятия в городе Нижневартовске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, составила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112 028 человек (39,6% от численности населения города), где только в рамках ХХ Международной экологической акции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Спасти и сохранить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в Нижневартовске прошло 2 532 эколого-просветительских и природоохранных мероприятия, в которых приняли участие 57 776 ч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еловек.</w:t>
      </w:r>
      <w:r>
        <w:rPr>
          <w:rFonts w:ascii="Times New Roman" w:hAnsi="Times New Roman" w:cs="Times New Roman"/>
          <w:color w:val="000000" w:themeColor="text1"/>
          <w:sz w:val="28"/>
          <w:highlight w:val="yellow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bidi="ru-RU"/>
        </w:rPr>
        <w:t xml:space="preserve">Важнейшим средством формирования природоохранного мировоззрения населения города являются средства массовой информации.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информирования населения города об охране окружающей среды: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опубликовано 50 информационных материалов в печатных сред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ствах массовой информации (в газетах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Варта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Местное время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размещены 24 экологические заметки на официальном сайте органов местного самоуправления города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822 публикации на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 официальных страницах администрации города в социальных сетях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в телевиз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ионном эфире вышло 147 сюжетов, а также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на телеканале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Н1-Первый Нижневартовский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осуществлено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30 трансляций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2-х видеороликов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"Пилотный проект по раздельному накоплению ТКО" и "Береги лес от пожара!"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r>
      <w:r/>
    </w:p>
    <w:p>
      <w:pPr>
        <w:ind w:firstLine="708"/>
        <w:jc w:val="both"/>
        <w:spacing w:after="0" w:line="235" w:lineRule="auto"/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Информация по природоохранной тематике размещалась на рекламно-информационных щитах в лифтах жилых домов (1 000 - 1 100 шт.).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рамках осуществления текущей деятельности управления по природопользованию и экологии администрации города по ее значимым направ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лениям проведена следующая работа.</w:t>
      </w:r>
      <w:bookmarkStart w:id="0" w:name="undefined"/>
      <w:r/>
      <w:bookmarkEnd w:id="0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2023 году по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24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поступившим заявлениям выдано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17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разрешений на право вырубки зеленых насаждений, по 7 заявл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ениям оформлен мотивированный отказ в предоставлении услуги. В бюджет города в рамках возмещения восстановительн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ой стоимости зеленых насаждений поступило 17 136,15 тыс. рублей. Оказаны 2 муниципальные услуги по организации общественных обсуждений среди населения о намечаемой хозяйственной и иной деятельности, которая подлежит экологической экспертизе.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адрес управл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ения по природопользованию и экологии в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br/>
        <w:t xml:space="preserve">с 01.01.2023 по 01.07.2023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 w:themeFill="background1"/>
        </w:rPr>
        <w:t xml:space="preserve">поступило 10 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граждан,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 w:themeFill="background1"/>
        </w:rPr>
        <w:t xml:space="preserve">5 из 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передано по компетенции в иные органы власти и структурные подразделения администрации города. По всем обращениям даны исчерпывающие отв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еты.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01.01.2022 прекращено осуществление переданных органам местного самоуправления полномочий по определению нормативов накопления ТКО. Установленные администрацией города нормативы накопления ТКО будут действовать до утверждения автономным округом 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нормативов.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осуществления администрацией города переданных органам местного самоуправления отдельных государственных полномочий автономного округа по проведению дезинсекции и дератизации на сумму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565,63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 организована двухэтапная барьерная дератизация по периметру селитебной территории города на площади 177,5 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трехэтапная дезинсекция (акарицидная обработка) территорий объектов здравоохранения на площади 17,057 га.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отдельных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ункций в области обеспечения доступным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комфортным жильем жителей города в части сноса жилых помещений, признанных непригодными для проживания, и многоквартирных домов, признанных аварийными и подлежащими сносу, организован снос 11 многоквартирных домов,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них 5 на безвозмездной основе по соглашению                        о сотрудничестве.</w:t>
      </w:r>
      <w:r>
        <w:rPr>
          <w:rFonts w:ascii="Times New Roman" w:hAnsi="Times New Roman" w:cs="Times New Roman"/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Реализация основных городских экологических мероприятий осуществлялась в рамках окружных и муниципальных программ.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реализацию муниципальной программы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Оздоровление экологической обстановки в городе Нижневартовске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города выделено 395 189,40 тыс. рублей, в том числе из федерального и регионального бюджетов на условиях софинансирования по программе автономного округа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Экологическая безопасность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bidi="ru-RU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- 101 814,00 тыс. рублей, на обеспечение деятельности МБУ "УЛПХ г. Нижневартовска" - 44 126,05 тыс. рублей (11,2%). Мероприятия программы реализованы на сумму 392 783,29 тыс. рублей (99,4%).</w:t>
      </w:r>
      <w:r/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показатели эффективности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шт.) по мероприятиям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достигнуты.</w:t>
      </w:r>
      <w:r/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сумма средств, привлеченных из внебюджетных источников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проведение природоохранных и эколого-просветительских мероприятий, составила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9,5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  <w:r>
        <w:rPr>
          <w:rFonts w:ascii="Times New Roman" w:hAnsi="Times New Roman" w:cs="Times New Roman"/>
          <w:bCs/>
          <w:color w:val="000000" w:themeColor="text1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firstLine="709"/>
        <w:jc w:val="both"/>
        <w:spacing w:after="0" w:line="235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анализа деятельности управления в 2023 году,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основных направлений государственной и региональной экологической политики, приоритетов, обозначенных главой города и Думой города, в 2024 году управлению по природопользованию и экологии администрации города предстоит решить следующие основные задачи: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contextualSpacing/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обеспечение зоны ИЖС достаточным количеством контейнерных площадок и контейнеров для раздельного накопления ТКО и опасных отходов;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pStyle w:val="603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популяризация работы пунктов приема вторичных ресурсов на территории города (Экопунктов);</w:t>
      </w:r>
      <w:r>
        <w:rPr>
          <w:rFonts w:ascii="Times New Roman" w:hAnsi="Times New Roman"/>
          <w:color w:val="000000" w:themeColor="text1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реализация мероприятий, предусмотренных Генеральной схемой озеленения города Нижневартовска;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603"/>
        <w:ind w:left="0"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эксплуатация и обслуживание лесного комплекса Ягом, развитие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модернизация созданной инфраструктуры;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/>
    </w:p>
    <w:p>
      <w:pPr>
        <w:pStyle w:val="603"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i/>
          <w:strike/>
          <w:color w:val="000000" w:themeColor="text1"/>
          <w:spacing w:val="-2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- продолжение внедрения новой системы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экологического сам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оуправления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highlight w:val="white"/>
        </w:rPr>
        <w:t xml:space="preserve">"ЭкоВартовск".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3" w:customStyle="1">
    <w:name w:val="Normal (Web)"/>
    <w:basedOn w:val="644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2024-02-07T09:24:46Z</dcterms:modified>
</cp:coreProperties>
</file>