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pacing w:val="-2"/>
          <w:sz w:val="28"/>
          <w:szCs w:val="28"/>
        </w:rPr>
        <w:t xml:space="preserve">Отчет об итогах работы</w:t>
      </w:r>
      <w:r>
        <w:rPr>
          <w:rFonts w:ascii="Times New Roman" w:hAnsi="Times New Roman" w:eastAsia="Times New Roman" w:cs="Times New Roman"/>
          <w:color w:val="000000" w:themeColor="text1"/>
          <w:spacing w:val="-2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pacing w:val="-2"/>
          <w:sz w:val="28"/>
          <w:szCs w:val="28"/>
        </w:rPr>
        <w:t xml:space="preserve">управления по природопользованию и экологии администрации города </w:t>
      </w:r>
      <w:r>
        <w:rPr>
          <w:rFonts w:ascii="Times New Roman" w:hAnsi="Times New Roman" w:eastAsia="Times New Roman" w:cs="Times New Roman"/>
          <w:color w:val="000000" w:themeColor="text1"/>
          <w:spacing w:val="-2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pacing w:val="-2"/>
          <w:sz w:val="28"/>
          <w:szCs w:val="28"/>
        </w:rPr>
        <w:t xml:space="preserve">за 2023 год</w:t>
      </w:r>
      <w:r>
        <w:rPr>
          <w:rFonts w:ascii="Times New Roman" w:hAnsi="Times New Roman" w:eastAsia="Times New Roman" w:cs="Times New Roman"/>
          <w:color w:val="000000" w:themeColor="text1"/>
          <w:spacing w:val="-2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Деятельность администрации города в сфере охраны окружающей среды продолжает меняться и реформироваться. Стабильная динамика роста экологического благополучия привела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победам в окружных экологических конкурсах: Нижневартовск в очередной раз стал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бедителем конкурса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Лучшее муниципальное образование автономного округа в сфере отношений, связанных с охраной окружающей среды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лидером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экологической акции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Спасти и сохранить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Развитие комплексной системы обращения с ТКО и взаимодейст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вие </w:t>
      </w:r>
      <w:r>
        <w:rPr>
          <w:rFonts w:ascii="Times New Roman" w:hAnsi="Times New Roman" w:cs="Times New Roman"/>
          <w:i/>
          <w:color w:val="000000" w:themeColor="text1"/>
          <w:sz w:val="28"/>
        </w:rPr>
        <w:br/>
        <w:t xml:space="preserve">с региональным оператором остается одной из ключевых задач администрации города.</w:t>
      </w:r>
      <w:r>
        <w:rPr>
          <w:rFonts w:ascii="Times New Roman" w:hAnsi="Times New Roman" w:cs="Times New Roman"/>
          <w:i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2020 году прекращена работа Нижневартовского полигона по утилизации и захоронению отходов производства и потребления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и он выведен из эксплуатации. За 49 лет на полигон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 накоплено 2 311 тыс. кубических метров отходов.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рамках реализации регионального и федерального проектов "Чистая страна" национального проекта "Экология" с 2022 года ведутся работы по рекультивации полигона по утилизации и захоронению отходов производст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ва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и потребления г. Нижневартовска. Администрацией города 25.02.2022 заключен муниципальный контракт на выполнение работ по рекультивации </w:t>
        <w:br/>
        <w:t xml:space="preserve">с ООО "ЭкоСтрой". Комплекс мероприятий (общей продолжительностью </w:t>
        <w:br/>
        <w:t xml:space="preserve">2 года) по выполнению технического и биологического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этапов рекультивации, а также вспомогательные работы выполняются единовременно (в рамках одного муниципального контракта с выделением этапов работ). Уже завершены работы по формированию геометрии склада отходов путем расчистки части занятой территории от 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валочного грунта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и его перемещению, по уплотнению вновь уложенных отходов на теле полигона, по укладке </w:t>
        <w:br/>
        <w:t xml:space="preserve">газо-дренажной и водо-дренажной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прослоек из щебня по поверхности спланированного тела полигона, укладке глинистого грунта между прослойками из щебня.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Завершающие работы по рекультивации полигона </w:t>
        <w:br/>
        <w:t xml:space="preserve">и ликвидации накопленного вреда окружающей среде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будут проведены до конца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проводимых работ является восстановление нарушенных земель с возможностью их дальнейшего использования, а также 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ижение целевых показателей национального проекта "Экология".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Продолжается начатая с января 2021 года реализация пилотного проекта по внедрению раздельного (двухконтейнерного) накопления ТКО. В проекте задействовано порядка 15 тыс. жителей, проживающих в 72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домах. Вывоз отходов с экспериментальных микрорайонов из контейнеров со смешанными сухими и влажными (органическими) отходами осуществляется 2 разными мусоровозами на мусоросортивочный комплекс где они подлежат разделению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и учету по фракциям.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Отсортирова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нные фракции, содержащие полезные компоненты, направляют на утилизацию в другие регионы Российской Федерации, остальные отходы размещаются на полигоне пгт. Высокий (ООО "ЖКАП").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результате эксперимента процент отбора полезных фракций из контейнеров для 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акопления ТКО увеличился с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3,6% до 7,97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%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контейнерах для смешанных (сухих) отходов. Всего с пилотных площадок в 2023 году отобрано 164,5 т вторичных ресурсов, из них 56,1 т отходов бумаги, 42 т отходов пластика, 4,3 т отходов металла, 62,1 т отходов стек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ла.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Внедрение раздельного (двухконтейнерного) накопления ТКО на территории всего города будет возможно после введения в эксплуатацию комплексного межмуниципального полигона ТКО для городов Нижневартовска и Мегиона, поселений Нижневартовского района Ханты-М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ансийского автономного округа - Югры. 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В целях раздельного накопления отходов по видам на территории города установлено 7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53 контейнера для раздельного накопления отходов, из них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419 контейнеров для отходов пластика, 322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специализированных контейнера для оп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асных отходов, 12 контейнеров для отходов бумаги и картона.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Благодаря взаимодействию управления по природопользованию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и экологии администрации города и экопартнеров ООО "Региональные грузоперевозки" и регионального оператора по обращению с ТКО АО "Югра-Эк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ология", в городе в 2022-2023 годах открыты и успешно функционируют пункты по приему вторичного сырья: три Экопункта и Экоцентр "Югра собирает". Экоцентр "Югра собирает" стал не просто пунктом приема вторичного сырья, но и образовательной площадкой, где со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трудники пункта просвещают население о правилах обращения с отходами. </w:t>
      </w:r>
      <w:r>
        <w:rPr>
          <w:rFonts w:ascii="Times New Roman" w:hAnsi="Times New Roman" w:cs="Times New Roman"/>
          <w:strike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2023 году Экопункты и Экоцентр посетили свыше 8 тыс. чел., передано на обработку: более 151 т макулатуры, 11 т пластика, 16 т стекла, 0,92 т алюминия. Жителям выплачено более 312 тыс.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рублей. На безвозмездной основе у населения принимаются батарейки и пластиковые крышечки в рамках благотворительного проекта "Добрые крышечки". </w:t>
        <w:br/>
        <w:t xml:space="preserve">С сентября 2023 года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Экопунктах принимается электролом.</w:t>
      </w:r>
      <w:r>
        <w:rPr>
          <w:rFonts w:ascii="Times New Roman" w:hAnsi="Times New Roman" w:cs="Times New Roman"/>
          <w:color w:val="000000" w:themeColor="text1"/>
          <w:sz w:val="28"/>
          <w:highlight w:val="cyan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Продолжается практика создания мест (площадок) накопления ТКО для жителей ИЖС в старой части города. К обустроенным в 2022 году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9 современным мобильным, антивандальным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модульным контейнерным площадкам </w:t>
      </w: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с возможностью раздельного накопления отходов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2023 г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оду МБУ "УЛПХ г. Нижневартовска" обустроена еще одна контейнерная площадка</w:t>
      </w: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. Комплексы полностью закрытые, что предотвращает растаскивание отходов животными, попадание в контейнеры осадков. Площадки оснащены модулями для крупногабаритных и опасных отходов (</w:t>
      </w: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ртутьсодержащих ламп, термометров, батареек).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Содержание 25 контейнерных площадок в старой части города осуществляется МБУ "УЛПХ г. Нижневартовска" в рамках заключенного муниципального контракта. 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  <w:shd w:val="clear" w:color="ffffff" w:themeColor="background1" w:fill="ffffff" w:themeFill="background1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Администрацией города сформирован и еженедельно обновляется реестр мест (площадок) накопл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ения ТКО на территории города Нижневартовска (далее - реестр). Реестр содержит 2348 мест (площадок) накопления ТКО, из них в 2023 году в реестр включено 123 новых мест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а (площадки) накопления ТКО, актуализирована информация о 199 действующих контейнерных площадках.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</w:r>
      <w:r/>
    </w:p>
    <w:p>
      <w:pPr>
        <w:ind w:firstLine="709"/>
        <w:jc w:val="both"/>
        <w:spacing w:after="0" w:line="240" w:lineRule="auto"/>
        <w:shd w:val="clear" w:color="ffffff" w:themeColor="background1" w:fill="ffffff" w:themeFill="background1"/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В отчетном году проведена работа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 хозяйствующими субъектами - собственниками контейнерных площадок, по приведению всех контейнерных площадок, расположенных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на территории города,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правилами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нормами действующего санитарно-эпидемиологического законодательства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а также оснащению информационными щитами с номером контейнерной площадки в соответствии с реестром. Необходимость нумерации контейнерн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ых площадок для накопления ТКО закреплена в Правилах благоустройства территории города.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В результате проведенных мероприятий доля мест (площадок) накопления ТКО, соответствующих требованиям законодательства, возросла на 41%.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2023 году на территории горо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да: образовано 76,98 тыс. т отходов, направлено на </w:t>
      </w:r>
      <w:r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обработку на мусоросортировочный комплекс ООО "Баркас+" 76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,73 тыс. т</w:t>
      </w:r>
      <w:r>
        <w:rPr>
          <w:rFonts w:ascii="Times New Roman" w:hAnsi="Times New Roman" w:cs="Times New Roman"/>
          <w:bCs/>
          <w:iCs/>
          <w:color w:val="000000" w:themeColor="text1"/>
          <w:sz w:val="28"/>
        </w:rPr>
        <w:t xml:space="preserve">. В результате обработки отходов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направлено на утилизацию на ведущие заводы страны 5,33 тыс. т вторсырья.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Размещение образующихся неутиль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ных фракций отходов осуществляется на полигоне ТКО г. Мегиона, расположенном в пгт. Высокий (ООО "ЖКАП").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Несмотря на значительные преобразования сферы обращения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с отходами остается актуальным вопрос ликвидации несанкционированных свало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к.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35" w:lineRule="auto"/>
        <w:tabs>
          <w:tab w:val="left" w:pos="851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целях ликвида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ции несанкционированных свалок в 2023 году во исполнение 2 муниципальных контрактов на общую сумму 6 927,72 тыс. рублей ликвидированы 58 несанкционированных свалок. Виды работ </w:t>
        <w:br/>
        <w:t xml:space="preserve">и достигнутые показатели приведены в таблице.</w:t>
      </w:r>
      <w:r>
        <w:rPr>
          <w:rFonts w:ascii="Times New Roman" w:hAnsi="Times New Roman" w:cs="Times New Roman"/>
          <w:color w:val="000000" w:themeColor="text1"/>
          <w:highlight w:val="whit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73"/>
        <w:gridCol w:w="7260"/>
        <w:gridCol w:w="1695"/>
      </w:tblGrid>
      <w:tr>
        <w:trPr/>
        <w:tc>
          <w:tcPr>
            <w:shd w:val="clear" w:color="ffffff" w:fill="d9d9d9" w:themeFill="background1" w:themeFillShade="D9"/>
            <w:tcW w:w="673" w:type="dxa"/>
            <w:vAlign w:val="center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№ п/п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r>
            <w:r/>
          </w:p>
        </w:tc>
        <w:tc>
          <w:tcPr>
            <w:shd w:val="clear" w:color="ffffff" w:fill="d9d9d9" w:themeFill="background1" w:themeFillShade="D9"/>
            <w:tcW w:w="7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Наименование вида работ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r>
            <w:r/>
          </w:p>
        </w:tc>
        <w:tc>
          <w:tcPr>
            <w:shd w:val="clear" w:color="ffffff" w:fill="d9d9d9" w:themeFill="background1" w:themeFillShade="D9"/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Показатель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r>
            <w:r/>
          </w:p>
        </w:tc>
      </w:tr>
      <w:tr>
        <w:trPr/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7260" w:type="dxa"/>
            <w:textDirection w:val="lrTb"/>
            <w:noWrap w:val="false"/>
          </w:tcPr>
          <w:p>
            <w:pPr>
              <w:jc w:val="both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Очистка захламленной и загрязненной территории от отходов различных классов опасности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2,29 га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</w:tr>
      <w:tr>
        <w:trPr/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7260" w:type="dxa"/>
            <w:textDirection w:val="lrTb"/>
            <w:noWrap w:val="false"/>
          </w:tcPr>
          <w:p>
            <w:pPr>
              <w:jc w:val="both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Транспортирование и размещение отходов различных классов опасности на санкционированный полигон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2 720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</w:tr>
      <w:tr>
        <w:trPr>
          <w:trHeight w:val="486"/>
        </w:trPr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7260" w:type="dxa"/>
            <w:textDirection w:val="lrTb"/>
            <w:noWrap w:val="false"/>
          </w:tcPr>
          <w:p>
            <w:pPr>
              <w:jc w:val="both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Сбор, транспортирование и передача на обезвреживание отработанных люминесцентных ламп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719 шт.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</w:tr>
      <w:tr>
        <w:trPr/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7260" w:type="dxa"/>
            <w:textDirection w:val="lrTb"/>
            <w:noWrap w:val="false"/>
          </w:tcPr>
          <w:p>
            <w:pPr>
              <w:jc w:val="both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Сбор, транспортирование и передача на размещение отработанных автомобильных покрышек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50 т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</w:tr>
      <w:tr>
        <w:trPr/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5.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7260" w:type="dxa"/>
            <w:textDirection w:val="lrTb"/>
            <w:noWrap w:val="false"/>
          </w:tcPr>
          <w:p>
            <w:pPr>
              <w:jc w:val="both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Сбор, транспортирование и передача на обезвреживание биологических отходов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35" w:lineRule="auto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1 800 кг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/>
          </w:p>
        </w:tc>
      </w:tr>
    </w:tbl>
    <w:p>
      <w:pPr>
        <w:jc w:val="both"/>
        <w:spacing w:after="0" w:line="235" w:lineRule="auto"/>
        <w:tabs>
          <w:tab w:val="left" w:pos="851" w:leader="none"/>
        </w:tabs>
      </w:pPr>
      <w:r>
        <w:rPr>
          <w:rFonts w:ascii="Times New Roman" w:hAnsi="Times New Roman" w:cs="Times New Roman"/>
          <w:color w:val="000000" w:themeColor="text1"/>
          <w:sz w:val="12"/>
          <w:szCs w:val="12"/>
        </w:rPr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Меры по снижению негативного воздействия на окружающую среду неразрывно связаны с оздоровлением экологической обстановки, поэтому большое внимание уделялось вопросам озе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ленения города.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</w:r>
      <w:r/>
    </w:p>
    <w:p>
      <w:pPr>
        <w:ind w:right="-1" w:firstLine="709"/>
        <w:jc w:val="both"/>
        <w:spacing w:after="0" w:line="235" w:lineRule="auto"/>
        <w:tabs>
          <w:tab w:val="left" w:pos="-3402" w:leader="none"/>
        </w:tabs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рамках кампании по озеленению территории города Нижневартовска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br/>
        <w:t xml:space="preserve">2023 года высажено 6 609 деревьев и кустарников, из них: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- 3 498 - на улично-дорожной сети и территориях общего пользования;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- 1 941 - в микрорайонах города;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- 1 170 - на территориях муниципальных учреждений.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Отметим, что с 2020 года содержание и развитие зеленого фонда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благоустройство городских лесов выполняется специально созданным для этих целей муниципальным бюджетным учреждением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лесоп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аркового хозяйства города Нижневартовска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 (далее - МБУ "УЛПХ </w:t>
        <w:br/>
        <w:t xml:space="preserve">г. Нижневартовска"). 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Так, силами МБУ "УЛПХ г. Нижневартовска" в соответствии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br/>
        <w:t xml:space="preserve">с утвержденным муниципальным заданием высажено 100 деревьев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br/>
        <w:t xml:space="preserve">и кустарников, еще 251 шт. - высажено дополнительно по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итогу рассмотрений обращений граждан, а также для обеспечения реализации ранее запланированных общегородских мероприятий по озеленению. Кроме того, 570 деревьев и кустарников было высажено в рамках работ по содержанию объектов озеленения (замена погибших 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поврежденных растений в границах улично-дорожной сети и территорий общего пользования).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2023 году реализовано 3 общегородских мероприятия по посадке деревьев и кустарников: 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- торжественное открытие ХХ Международной экологической акции "Спасти и сохрани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ть" (высажено 65 яблонь на участке ул. Г.И. Пикмана);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- мероприятие в рамках сотрудничества с АО "Самотлорнефтегаз" на территории, прилегающей к монументу "Покорителям Самотлора" (высажено      50 яблонь);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- акция "Сады предпринимателей" на территории Парк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 Победы (высажено 30 саженцев ели).</w:t>
      </w:r>
      <w:r>
        <w:rPr>
          <w:color w:val="000000" w:themeColor="text1"/>
        </w:rPr>
      </w:r>
      <w:r/>
    </w:p>
    <w:p>
      <w:pPr>
        <w:ind w:right="-1"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городских лесах реализован 3 этап обустройства лесного комплекса Ягом (рабочее название - экологическая тропа в городе Нижневартовске).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3 года на территории ЛК Ягом обустроено 4 функциональные зоны:</w:t>
      </w:r>
      <w:r>
        <w:rPr>
          <w:color w:val="000000" w:themeColor="text1"/>
        </w:rPr>
      </w:r>
      <w:r/>
    </w:p>
    <w:p>
      <w:pPr>
        <w:ind w:right="-1" w:firstLine="720"/>
        <w:jc w:val="both"/>
        <w:spacing w:after="0" w:line="240" w:lineRule="auto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рекреационна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зона с размещением в ней глэмпинга с 1 общественным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и 4 жилыми модулями, прогулочных троп, площадок отдыха,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смотровых площадок, поляны новобрачных и ленд-арта;</w:t>
      </w:r>
      <w:r>
        <w:rPr>
          <w:color w:val="000000" w:themeColor="text1"/>
        </w:rPr>
      </w:r>
      <w:r/>
    </w:p>
    <w:p>
      <w:pPr>
        <w:ind w:right="-1" w:firstLine="720"/>
        <w:jc w:val="both"/>
        <w:spacing w:after="0" w:line="240" w:lineRule="auto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спортивная зона, включающая в себя спортивные и лыжные трассы;</w:t>
      </w:r>
      <w:r>
        <w:rPr>
          <w:color w:val="000000" w:themeColor="text1"/>
        </w:rPr>
      </w:r>
      <w:r/>
    </w:p>
    <w:p>
      <w:pPr>
        <w:ind w:right="-1" w:firstLine="720"/>
        <w:jc w:val="both"/>
        <w:spacing w:after="0" w:line="240" w:lineRule="auto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зона массовых мероприятий,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представляющая собой пространство для форумов и фестивалей с центральной площадкой и оборудованной сценой</w:t>
      </w:r>
      <w:r>
        <w:rPr>
          <w:color w:val="000000" w:themeColor="text1"/>
        </w:rPr>
        <w:t xml:space="preserve">;</w:t>
      </w:r>
      <w:r>
        <w:rPr>
          <w:color w:val="000000" w:themeColor="text1"/>
        </w:rPr>
      </w:r>
      <w:r/>
    </w:p>
    <w:p>
      <w:pPr>
        <w:ind w:right="-1" w:firstLine="720"/>
        <w:jc w:val="both"/>
        <w:spacing w:after="0" w:line="240" w:lineRule="auto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научно-практическая зона, на которой выделены орнитологический 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энтомологический выделы, а также дендрологическая площадка).</w:t>
      </w:r>
      <w:r>
        <w:rPr>
          <w:color w:val="000000" w:themeColor="text1"/>
        </w:rPr>
      </w:r>
      <w:r/>
    </w:p>
    <w:p>
      <w:pPr>
        <w:ind w:right="-1"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создана необ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ходимая инженерная инфраструктура,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выполнено освещение, имеется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видеонаблюдение,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охрана, автономный санитарный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модуль.</w:t>
      </w:r>
      <w:r>
        <w:rPr>
          <w:color w:val="000000" w:themeColor="text1"/>
        </w:rPr>
      </w:r>
      <w:r/>
    </w:p>
    <w:p>
      <w:pPr>
        <w:ind w:right="-1"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ЛК Ягом является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одн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им из самых притягательных пространств.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для отдыха и спорта. Он ежедневно открыт для свободного посещения жителям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br/>
        <w:t xml:space="preserve">и гостям города. В выходные дни его территорию посещают до 1 тыс. человек.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на территории Ягом состоялось 8 общественных мероприятий,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которых приняло участие более 3,3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720"/>
        <w:jc w:val="both"/>
        <w:spacing w:after="0" w:line="235" w:lineRule="auto"/>
        <w:widowControl w:val="off"/>
        <w:tabs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  <w:t xml:space="preserve">Лесной комплекс Ягом состоит в Реестре туристских ресурсов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  <w:br/>
        <w:t xml:space="preserve">и организаций туристской индустрии Ханты-Мансийского автономного округа - Югры, информация о нем размещена на Единой цифровой туристической платформе автономного округа.</w:t>
      </w:r>
      <w:r>
        <w:rPr>
          <w:color w:val="000000" w:themeColor="text1"/>
        </w:rPr>
      </w:r>
      <w:r/>
    </w:p>
    <w:p>
      <w:pPr>
        <w:pStyle w:val="1_633"/>
        <w:ind w:firstLine="709"/>
        <w:jc w:val="both"/>
        <w:spacing w:before="0" w:beforeAutospacing="0" w:after="0" w:afterAutospacing="0" w:line="235" w:lineRule="auto"/>
        <w:shd w:val="clear" w:color="auto" w:fill="ffffff"/>
      </w:pPr>
      <w:r>
        <w:rPr>
          <w:i/>
          <w:color w:val="000000" w:themeColor="text1"/>
          <w:sz w:val="28"/>
          <w:szCs w:val="28"/>
        </w:rPr>
        <w:t xml:space="preserve">Эффективность мер по охране окружающей среды во многом зависит от решения задач по формированию экологической культуры, </w:t>
      </w:r>
      <w:r>
        <w:rPr>
          <w:rFonts w:eastAsiaTheme="minorHAnsi"/>
          <w:bCs/>
          <w:i/>
          <w:iCs/>
          <w:color w:val="000000" w:themeColor="text1"/>
          <w:sz w:val="28"/>
          <w:szCs w:val="28"/>
          <w:lang w:eastAsia="en-US" w:bidi="ru-RU"/>
        </w:rPr>
        <w:t xml:space="preserve">развития экологического воспитания и просвещения населения. </w:t>
      </w:r>
      <w:r>
        <w:rPr>
          <w:rFonts w:eastAsiaTheme="minorHAnsi"/>
          <w:bCs/>
          <w:i/>
          <w:iCs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Природнадзором Югры город Нижневартовск признан лидером по итогам реализаци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проекта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XX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Международной экологической акции "Спасти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и сохранить" в 2023 году среди муниципальных образований Югры.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В 2023 году открытие ежегодной Международной экологической акции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Спасти и сохранить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дало старт более 40 основным мероприятиям для различных социальных и возрастных групп населения, которые организованы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br/>
        <w:t xml:space="preserve">и проведены на территории города Нижневартовска с мая по ноябрь.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образовательных учреждениях администрацией города совместно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с предс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тавителями специализированных организаций традиционно проведена экологическая акция по сбору макулатуры #PRO_бумагу. Всего в 2023 году силами образовательных учреждений собрано около 203 т макулатуры.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весенне - осенний период прошли ежегодные субботники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рамках Всероссийской акции "Вода России" регионального проекта "Сохранение уникальных водных объектов" национального проекта "Экология",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реализуемого на территории города Нижневартовска с 2018 года.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ходе 10 субботников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участии 1 100 волонтеров было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очищено 12,1 км прибрежной полосы водных объектов: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р. Обь, р. Малый Еган, р. Рязанский Еган, р. Мысовая Мега, оз. Комсомольское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которых собрано 58 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отходов.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экологических и иных общественных мероприятий на территории лесного комплекс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Ягом была специально обустроена форум зона, которая предоставляется всем желающим на безвозмездной основе. Модули оснащены всем необходимым оборудованием для проведения форумов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конференций с размещением участников численностью до 80 человек. В течение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данном пространстве уже было проведено 8 общественных мероприятий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окружной форум "Внутренний экологический туризм", фестиваль йоги "День солнца", экстремальный забег "Сила Самотлора-2023", арт-фестиваль "Дана", VII туристский слет "Турслет поко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лений", фестиваль этноспорта "Зов предков", тимбилдинги)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приняли участие более 3 тыс. человек.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доля населения, вовлеченного в эколого-просветительские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эколого-образовательные мероприятия в городе Нижневартовске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составила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112 028 человек (39,6% от численности населения города), где только в рамках ХХ Международной экологической акции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Спасти и сохранить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в Нижневартовске прошло 2 532 эколого-просветительских и природоохранных мероприятия, в которых приняли участие 57 776 ч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еловек.</w:t>
      </w:r>
      <w:r>
        <w:rPr>
          <w:rFonts w:ascii="Times New Roman" w:hAnsi="Times New Roman" w:cs="Times New Roman"/>
          <w:color w:val="000000" w:themeColor="text1"/>
          <w:sz w:val="28"/>
          <w:highlight w:val="yellow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bidi="ru-RU"/>
        </w:rPr>
        <w:t xml:space="preserve">Важнейшим средством формирования природоохранного мировоззрения населения города являются средства массовой информации.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целях информирования населения города об охране окружающей среды: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опубликовано 50 информационных материалов в печатных сред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ствах массовой информации (в газетах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Варта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Местное время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);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размещены 24 экологические заметки на официальном сайте органов местного самоуправления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822 публикации на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официальных страницах администрации города в социальных сетях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в телевиз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ионном эфире вышло 147 сюжетов, а также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на телеканале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Н1-Первый Нижневартовский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осуществлено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30 трансляций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2-х видеороликов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"Пилотный проект по раздельному накоплению ТКО" и "Береги лес от пожара!"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after="0" w:line="235" w:lineRule="auto"/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Информация по природоохранной тематике размещалась на рекламно-информационных щитах в лифтах жилых домов (1 000 - 1 100 шт.).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рамках осуществления текущей деятельности управления по природопользованию и экологии администрации города по ее значимым направ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лениям проведена следующая работа.</w:t>
      </w:r>
      <w:bookmarkStart w:id="0" w:name="undefined"/>
      <w:r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2023 году по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</w:rPr>
        <w:t xml:space="preserve">24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</w:rPr>
        <w:t xml:space="preserve">поступившим заявлениям выдано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</w:rPr>
        <w:t xml:space="preserve">17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trike w:val="0"/>
          <w:color w:val="000000" w:themeColor="text1"/>
          <w:sz w:val="28"/>
          <w:szCs w:val="28"/>
          <w:highlight w:val="white"/>
        </w:rPr>
        <w:t xml:space="preserve">разрешений на право вырубки зеленых насаждений, по 7 заявл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ениям оформлен мотивированный отказ в предоставлении услуги. В бюджет города в рамках возмещения восстановительн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ой стоимости зеленых насаждений поступило 17 136,15 тыс. рублей. Оказаны 2 муниципальные услуги по организации общественных обсуждений среди населения о намечаемой хозяйственной и иной деятельности, которая подлежит экологической экспертизе.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адрес управл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ения по природопользованию и экологии в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 xml:space="preserve">с 01.01.2023 по 01.07.2023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 w:themeFill="background1"/>
        </w:rPr>
        <w:t xml:space="preserve">поступило 10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граждан,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 w:themeFill="background1"/>
        </w:rPr>
        <w:t xml:space="preserve">5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передано по компетенции в иные органы власти и структурные подразделения администрации города. По всем обращениям даны исчерпывающие отв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еты.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01.01.2022 прекращено осуществление переданных органам местного самоуправления полномочий по определению нормативов накопления ТКО. Установленные администрацией города нормативы накопления ТКО будут действовать до утверждения автономным округом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нормативов.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осуществления администрацией города переданных органам местного самоуправления отдельных государственных полномочий автономного округа по проведению дезинсекции и дератизации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565,63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организована двухэтапная барьерная дератизация по периметру селитебной территории города на площади 177,5 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трехэтапная дезинсекция (акарицидная обработка) территорий объектов здравоохранения на площади 17,057 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отдельных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ункций в области обеспечения доступным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комфортным жильем жителей города в части сноса жилых помещений, признанных непригодными для проживания, и многоквартирных домов, признанных аварийными и подлежащими сносу, организован снос 11 многоквартирных домов,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5 на безвозмездной основе по соглашению                        о сотрудничестве.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Реализация основных городских экологических мероприятий осуществлялась в рамках окружных и муниципальных программ.</w:t>
      </w:r>
      <w:r/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Оздоровление экологической обстановки в городе Нижневартовске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города выделено 395 189,40 тыс. рублей, в том числе из федерального и регионального бюджетов на условиях софинансирования по программе автономного округа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Экологическая безопасность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- 101 814,00 тыс. рублей, на обеспечение деятельности МБУ "УЛПХ г. Нижневартовска" - 44 126,05 тыс. рублей (11,2%). Мероприятия программы реализованы на сумму 392 783,29 тыс. рублей (99,4%).</w:t>
      </w:r>
      <w:r/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показатели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(1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шт.) по мероприятиям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достигнуты.</w:t>
      </w:r>
      <w:r/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средств, привлеченных из внебюджетных источников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проведение природоохранных и эколого-просветительских мероприятий, составила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9,5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  <w:r>
        <w:rPr>
          <w:rFonts w:ascii="Times New Roman" w:hAnsi="Times New Roman" w:cs="Times New Roman"/>
          <w:bCs/>
          <w:color w:val="000000" w:themeColor="text1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35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анализа деятельности управления в 2023 году,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направлений государственной и региональной экологической политики, приоритетов, обозначенных главой города и Думой города, в 2024 году управлению по природопользованию и экологии администрации города предстоит решить следующие основные 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обеспечение зоны ИЖС достаточным количеством контейнерных площадок и контейнеров для раздельного накопления ТКО и опасных отходов;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603"/>
        <w:ind w:left="0" w:firstLine="709"/>
        <w:jc w:val="both"/>
        <w:spacing w:after="0" w:line="240" w:lineRule="auto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популяризация работы пунктов приема вторичных ресурсов на территории города (Экопунктов);</w:t>
      </w:r>
      <w:r>
        <w:rPr>
          <w:rFonts w:ascii="Times New Roman" w:hAnsi="Times New Roman"/>
          <w:color w:val="000000" w:themeColor="text1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реализация мероприятий, предусмотренных Генеральной схемой озеленения города Нижневартовска;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603"/>
        <w:ind w:left="0" w:firstLine="709"/>
        <w:jc w:val="both"/>
        <w:spacing w:after="0" w:line="240" w:lineRule="auto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эксплуатация и обслуживание лесного комплекса Ягом, развитие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модернизация созданной инфраструктуры;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603"/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i/>
          <w:strike/>
          <w:color w:val="000000" w:themeColor="text1"/>
          <w:spacing w:val="-2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highlight w:val="white"/>
        </w:rPr>
        <w:t xml:space="preserve">- продолжение внедрения новой системы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экологического сам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оуправления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highlight w:val="white"/>
        </w:rPr>
        <w:t xml:space="preserve">"ЭкоВартовск".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33" w:customStyle="1">
    <w:name w:val="Normal (Web)"/>
    <w:basedOn w:val="644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2024-02-07T09:24:46Z</dcterms:modified>
</cp:coreProperties>
</file>