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 xml:space="preserve">1. Наименование инициативного проекта: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 xml:space="preserve">Модернизация спортивной площадки у Муниципального бюджетного общеобразовательного учреждения  «Средняя школа №13»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>Реализа</w:t>
      </w:r>
      <w:r>
        <w:rPr>
          <w:rFonts w:ascii="Times New Roman" w:hAnsi="Times New Roman"/>
          <w:b w:val="false"/>
          <w:sz w:val="28"/>
        </w:rPr>
        <w:t xml:space="preserve">ция </w:t>
      </w:r>
      <w:r>
        <w:rPr>
          <w:rFonts w:ascii="Times New Roman" w:hAnsi="Times New Roman"/>
          <w:b w:val="false"/>
          <w:color w:val="000000"/>
          <w:sz w:val="28"/>
        </w:rPr>
        <w:t>Проекта</w:t>
      </w:r>
      <w:r>
        <w:rPr>
          <w:rFonts w:ascii="Times New Roman" w:hAnsi="Times New Roman"/>
          <w:b w:val="false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</w:t>
        <w:tab/>
        <w:t>Дата начала и окончания реализации инициативного</w:t>
      </w:r>
      <w:r>
        <w:rPr>
          <w:rFonts w:ascii="Times New Roman" w:hAnsi="Times New Roman"/>
          <w:b w:val="false"/>
          <w:color w:val="000000"/>
          <w:sz w:val="28"/>
        </w:rPr>
        <w:t xml:space="preserve"> проекта: 04.04.2023 по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25</w:t>
      </w:r>
      <w:r>
        <w:rPr>
          <w:rFonts w:ascii="Times New Roman" w:hAnsi="Times New Roman"/>
          <w:b w:val="false"/>
          <w:color w:val="000000"/>
          <w:sz w:val="28"/>
        </w:rPr>
        <w:t>.08.2023 (окончательный расчет по проекту).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Работы проводились подрядной организацией обществом с ограниченной отве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тственностью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>«Капитал-Строй»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В рамках проекта была создана </w:t>
      </w:r>
      <w:r>
        <w:rPr>
          <w:rFonts w:eastAsia="Droid Sans Fallback" w:cs="Droid Sans Devanagari" w:ascii="Times New Roman" w:hAnsi="Times New Roman"/>
          <w:b w:val="false"/>
          <w:bCs/>
          <w:strike w:val="false"/>
          <w:dstrike w:val="false"/>
          <w:color w:val="000000"/>
          <w:spacing w:val="0"/>
          <w:kern w:val="0"/>
          <w:sz w:val="28"/>
          <w:szCs w:val="20"/>
          <w:lang w:val="ru-RU" w:eastAsia="zh-CN" w:bidi="ar-SA"/>
        </w:rPr>
        <w:t xml:space="preserve">спортивная </w:t>
      </w:r>
      <w:r>
        <w:rPr>
          <w:rFonts w:eastAsia="Droid Sans Fallback" w:cs="Droid Sans Devanagari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kern w:val="0"/>
          <w:sz w:val="28"/>
          <w:szCs w:val="20"/>
          <w:u w:val="none"/>
          <w:lang w:val="ru-RU" w:eastAsia="zh-CN" w:bidi="ar-SA"/>
        </w:rPr>
        <w:t>п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0"/>
          <w:u w:val="none"/>
          <w:lang w:val="ru-RU" w:eastAsia="zh-CN" w:bidi="ar-SA"/>
        </w:rPr>
        <w:t xml:space="preserve">лощадка с травмобезопасным покрытием (баскетбольная и волейбольная площадки), увеличено количество спортивных снарядов на площадке для воркаута. Установлены лавочки для отдыха и урны. </w:t>
      </w:r>
      <w:r>
        <w:rPr>
          <w:rFonts w:ascii="Times New Roman" w:hAnsi="Times New Roman"/>
          <w:b w:val="false"/>
          <w:sz w:val="28"/>
        </w:rPr>
        <w:t xml:space="preserve">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4. Сведения об имущественном и (или) трудовом участии физических и(или) юридических лиц, индивидуальных предпринимателей: Не предусмотрено.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5. Сведения о финансировании инициативного проекта:</w:t>
      </w:r>
    </w:p>
    <w:tbl>
      <w:tblPr>
        <w:tblStyle w:val="Style_2"/>
        <w:tblW w:w="9694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3"/>
        <w:gridCol w:w="1603"/>
        <w:gridCol w:w="1652"/>
        <w:gridCol w:w="1529"/>
        <w:gridCol w:w="1390"/>
        <w:gridCol w:w="1946"/>
      </w:tblGrid>
      <w:tr>
        <w:trPr>
          <w:trHeight w:val="477" w:hRule="atLeast"/>
        </w:trPr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С</w:t>
            </w:r>
            <w:r>
              <w:rPr>
                <w:b/>
                <w:spacing w:val="0"/>
                <w:kern w:val="0"/>
                <w:sz w:val="20"/>
                <w:szCs w:val="20"/>
              </w:rPr>
              <w:t>тоимость проекта</w:t>
            </w:r>
            <w:r>
              <w:rPr>
                <w:spacing w:val="0"/>
                <w:kern w:val="0"/>
                <w:sz w:val="20"/>
                <w:szCs w:val="20"/>
              </w:rPr>
              <w:br/>
            </w:r>
            <w:r>
              <w:rPr>
                <w:b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32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в том числе</w:t>
            </w:r>
          </w:p>
        </w:tc>
        <w:tc>
          <w:tcPr>
            <w:tcW w:w="15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Цена контракта</w:t>
            </w:r>
          </w:p>
        </w:tc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Экономия</w:t>
            </w:r>
          </w:p>
        </w:tc>
        <w:tc>
          <w:tcPr>
            <w:tcW w:w="1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b/>
                <w:color w:val="000000"/>
                <w:spacing w:val="0"/>
                <w:kern w:val="0"/>
                <w:sz w:val="24"/>
                <w:szCs w:val="20"/>
              </w:rPr>
              <w:t>Причины экономии</w:t>
            </w:r>
          </w:p>
        </w:tc>
      </w:tr>
      <w:tr>
        <w:trPr>
          <w:trHeight w:val="895" w:hRule="atLeast"/>
        </w:trPr>
        <w:tc>
          <w:tcPr>
            <w:tcW w:w="15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Бюджет МО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Соф-ние  (населения, юр.лиц, ИП)</w:t>
            </w:r>
          </w:p>
        </w:tc>
        <w:tc>
          <w:tcPr>
            <w:tcW w:w="15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39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9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68" w:hRule="atLeast"/>
        </w:trPr>
        <w:tc>
          <w:tcPr>
            <w:tcW w:w="15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kern w:val="0"/>
                <w:sz w:val="22"/>
                <w:szCs w:val="22"/>
                <w:lang w:val="ru-RU" w:eastAsia="zh-CN" w:bidi="hi-IN"/>
              </w:rPr>
              <w:t>5060000,00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kern w:val="0"/>
                <w:sz w:val="22"/>
                <w:szCs w:val="22"/>
                <w:lang w:val="ru-RU" w:eastAsia="zh-CN" w:bidi="hi-IN"/>
              </w:rPr>
              <w:t>4780000,00</w:t>
            </w: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kern w:val="0"/>
                <w:sz w:val="22"/>
                <w:szCs w:val="22"/>
                <w:lang w:val="ru-RU" w:eastAsia="zh-CN" w:bidi="hi-IN"/>
              </w:rPr>
              <w:t>280000,00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/>
              <w:suppressAutoHyphens w:val="true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kern w:val="0"/>
                <w:sz w:val="22"/>
                <w:szCs w:val="22"/>
                <w:lang w:val="ru-RU" w:eastAsia="zh-CN" w:bidi="hi-IN"/>
              </w:rPr>
              <w:t>5009400,00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/>
              <w:suppressAutoHyphens w:val="true"/>
              <w:spacing w:before="0" w:after="0"/>
              <w:jc w:val="center"/>
              <w:rPr>
                <w:rFonts w:ascii="Times New Roman" w:hAnsi="Times New Roman" w:eastAsia="Droid Sans Fallback" w:cs="Droid Sans Devanagari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color w:val="000000"/>
                <w:spacing w:val="0"/>
                <w:kern w:val="0"/>
                <w:sz w:val="22"/>
                <w:szCs w:val="22"/>
                <w:lang w:val="ru-RU" w:eastAsia="zh-CN" w:bidi="hi-IN"/>
              </w:rPr>
              <w:t>50600,00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eastAsia="Droid Sans Fallback" w:cs="Droid Sans Devanagari"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Экономия сложилась по результатам проведенных торгов</w:t>
            </w:r>
          </w:p>
        </w:tc>
      </w:tr>
    </w:tbl>
    <w:p>
      <w:pPr>
        <w:pStyle w:val="Normal"/>
        <w:spacing w:lineRule="auto" w:line="276" w:before="0" w:after="140"/>
        <w:jc w:val="both"/>
        <w:rPr/>
      </w:pPr>
      <w:r>
        <w:rPr/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35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Application>LibreOffice/7.0.6.2$Linux_X86_64 LibreOffice_project/00$Build-2</Application>
  <AppVersion>15.0000</AppVersion>
  <Pages>1</Pages>
  <Words>173</Words>
  <Characters>1287</Characters>
  <CharactersWithSpaces>1442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2022-09-29T15:39:38Z</cp:lastPrinted>
  <dcterms:modified xsi:type="dcterms:W3CDTF">2023-10-10T10:00:05Z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