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color w:val="000000"/>
        </w:rPr>
      </w:pPr>
      <w:r>
        <w:rPr>
          <w:color w:val="000000"/>
        </w:rPr>
      </w:r>
      <w:r/>
    </w:p>
    <w:p>
      <w:pPr>
        <w:contextualSpacing/>
        <w:jc w:val="center"/>
        <w:rPr>
          <w:sz w:val="10"/>
          <w:szCs w:val="10"/>
        </w:rPr>
      </w:pPr>
      <w:r>
        <w:rPr>
          <w:sz w:val="10"/>
          <w:szCs w:val="10"/>
        </w:rPr>
      </w:r>
      <w:r/>
    </w:p>
    <w:tbl>
      <w:tblPr>
        <w:tblW w:w="4894" w:type="pct"/>
        <w:tblInd w:w="108" w:type="dxa"/>
        <w:tblBorders>
          <w:top w:val="single" w:color="auto" w:sz="4" w:space="0"/>
          <w:bottom w:val="single" w:color="auto" w:sz="4" w:space="0"/>
        </w:tblBorders>
        <w:tblLook w:val="00A0" w:firstRow="1" w:lastRow="0" w:firstColumn="1" w:lastColumn="0" w:noHBand="0" w:noVBand="0"/>
      </w:tblPr>
      <w:tblGrid>
        <w:gridCol w:w="9922"/>
      </w:tblGrid>
      <w:tr>
        <w:trPr/>
        <w:tc>
          <w:tcPr>
            <w:tcBorders>
              <w:top w:val="single" w:color="auto" w:sz="18" w:space="0"/>
              <w:bottom w:val="single" w:color="auto" w:sz="18" w:space="0"/>
            </w:tcBorders>
            <w:tcW w:w="5000" w:type="pct"/>
            <w:textDirection w:val="lrTb"/>
            <w:noWrap w:val="false"/>
          </w:tcPr>
          <w:p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</w:r>
            <w:r/>
          </w:p>
          <w:p>
            <w:pPr>
              <w:contextualSpacing/>
              <w:jc w:val="center"/>
              <w:rPr>
                <w:b/>
                <w:spacing w:val="8"/>
              </w:rPr>
            </w:pPr>
            <w:r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  <w:r/>
          </w:p>
          <w:p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>
              <w:rPr>
                <w:b/>
                <w:color w:val="000000"/>
                <w:spacing w:val="8"/>
              </w:rPr>
              <w:t xml:space="preserve">города </w:t>
            </w:r>
            <w:r>
              <w:rPr>
                <w:b/>
                <w:color w:val="000000"/>
                <w:spacing w:val="8"/>
              </w:rPr>
              <w:t xml:space="preserve">Нижневартовска</w:t>
            </w:r>
            <w:r/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</w:tbl>
    <w:p>
      <w:pPr>
        <w:jc w:val="center"/>
        <w:rPr>
          <w:b/>
        </w:rPr>
      </w:pPr>
      <w:r>
        <w:rPr>
          <w:b/>
        </w:rPr>
      </w:r>
      <w:r/>
    </w:p>
    <w:p>
      <w:pPr>
        <w:contextualSpacing/>
        <w:jc w:val="center"/>
        <w:shd w:val="clear" w:color="auto" w:fill="ffffff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/>
    </w:p>
    <w:p>
      <w:pPr>
        <w:contextualSpacing/>
        <w:jc w:val="center"/>
        <w:shd w:val="clear" w:color="auto" w:fill="ffffff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Осторожно! Мошенники выдают себя за медицинских работников</w:t>
      </w:r>
      <w:r/>
    </w:p>
    <w:p>
      <w:pPr>
        <w:contextualSpacing/>
        <w:jc w:val="center"/>
        <w:shd w:val="clear" w:color="auto" w:fill="ffffff"/>
        <w:rPr>
          <w:color w:val="000000"/>
        </w:rPr>
      </w:pPr>
      <w:r/>
      <w:bookmarkStart w:id="0" w:name="_GoBack"/>
      <w:r/>
      <w:bookmarkEnd w:id="0"/>
      <w:r/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Выявлена новая схема мошенничества: злоумышленники звонят</w:t>
      </w:r>
      <w:r>
        <w:rPr>
          <w:color w:val="000000" w:themeColor="text1"/>
        </w:rPr>
        <w:t xml:space="preserve"> потенциальным жертвам</w:t>
      </w:r>
      <w:r>
        <w:rPr>
          <w:color w:val="000000" w:themeColor="text1"/>
        </w:rPr>
        <w:t xml:space="preserve"> под видом медицинских работников и сообщают о необходимости пройти дорогостоящий курс лечения.</w:t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В ходе телефонного разговора м</w:t>
      </w:r>
      <w:r>
        <w:rPr>
          <w:color w:val="000000" w:themeColor="text1"/>
        </w:rPr>
        <w:t xml:space="preserve">ошенник представляется помощником «профессора» или «главврача» и сообщает, что пришли плохие анализы, которые якобы гражданин сдавал ранее, </w:t>
      </w:r>
      <w:r>
        <w:rPr>
          <w:color w:val="000000" w:themeColor="text1"/>
        </w:rPr>
        <w:t xml:space="preserve">в связи с чем</w:t>
      </w:r>
      <w:r>
        <w:rPr>
          <w:color w:val="000000" w:themeColor="text1"/>
        </w:rPr>
        <w:t xml:space="preserve"> необходимо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лечение.</w:t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Далее перезванивает «главный врач поликлиники» и сообщает, что за лечение готов взяться профессор медицины, но само лечение платное и необходимо пройти курс </w:t>
      </w:r>
      <w:r>
        <w:rPr>
          <w:color w:val="000000" w:themeColor="text1"/>
        </w:rPr>
        <w:t xml:space="preserve">приема </w:t>
      </w:r>
      <w:r>
        <w:rPr>
          <w:color w:val="000000" w:themeColor="text1"/>
        </w:rPr>
        <w:t xml:space="preserve">дорогостоящ</w:t>
      </w:r>
      <w:r>
        <w:rPr>
          <w:color w:val="000000" w:themeColor="text1"/>
        </w:rPr>
        <w:t xml:space="preserve">его</w:t>
      </w:r>
      <w:r>
        <w:rPr>
          <w:color w:val="000000" w:themeColor="text1"/>
        </w:rPr>
        <w:t xml:space="preserve"> препарат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при этом, </w:t>
      </w:r>
      <w:r>
        <w:rPr>
          <w:color w:val="000000" w:themeColor="text1"/>
        </w:rPr>
        <w:t xml:space="preserve">ден</w:t>
      </w:r>
      <w:r>
        <w:rPr>
          <w:color w:val="000000" w:themeColor="text1"/>
        </w:rPr>
        <w:t xml:space="preserve">ежные средства за медицинские услуги</w:t>
      </w:r>
      <w:r>
        <w:rPr>
          <w:color w:val="000000" w:themeColor="text1"/>
        </w:rPr>
        <w:t xml:space="preserve"> необходимо перечислить сразу.</w:t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Будьте бдительны, если стали жертвой мошенничества, незамедлительно обращайтесь в полицию.</w:t>
      </w:r>
      <w:r/>
    </w:p>
    <w:p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/>
    </w:p>
    <w:p>
      <w:pPr>
        <w:jc w:val="both"/>
      </w:pPr>
      <w:r>
        <w:t xml:space="preserve">Пресс-служба </w:t>
      </w:r>
      <w:r/>
    </w:p>
    <w:p>
      <w:pPr>
        <w:jc w:val="both"/>
      </w:pPr>
      <w:r>
        <w:t xml:space="preserve">Прокуратуры </w:t>
      </w:r>
      <w:r>
        <w:t xml:space="preserve">г. Нижневартовска</w:t>
      </w:r>
      <w:r/>
    </w:p>
    <w:sectPr>
      <w:footnotePr/>
      <w:endnotePr/>
      <w:type w:val="nextPage"/>
      <w:pgSz w:w="11906" w:h="16838" w:orient="portrait"/>
      <w:pgMar w:top="567" w:right="567" w:bottom="426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2040502050405020303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01"/>
    <w:link w:val="60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rPr>
      <w:rFonts w:ascii="Times New Roman" w:hAnsi="Times New Roman" w:eastAsia="Times New Roman"/>
      <w:sz w:val="28"/>
      <w:szCs w:val="28"/>
    </w:rPr>
  </w:style>
  <w:style w:type="paragraph" w:styleId="600">
    <w:name w:val="Heading 1"/>
    <w:basedOn w:val="599"/>
    <w:link w:val="604"/>
    <w:uiPriority w:val="9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character" w:styleId="604" w:customStyle="1">
    <w:name w:val="Заголовок 1 Знак"/>
    <w:link w:val="600"/>
    <w:uiPriority w:val="99"/>
    <w:rPr>
      <w:rFonts w:ascii="Times New Roman" w:hAnsi="Times New Roman" w:cs="Times New Roman"/>
      <w:b/>
      <w:bCs/>
      <w:sz w:val="48"/>
      <w:szCs w:val="48"/>
      <w:lang w:eastAsia="ru-RU"/>
    </w:rPr>
  </w:style>
  <w:style w:type="paragraph" w:styleId="605">
    <w:name w:val="Body Text Indent"/>
    <w:basedOn w:val="599"/>
    <w:link w:val="606"/>
    <w:uiPriority w:val="99"/>
    <w:pPr>
      <w:ind w:firstLine="709"/>
      <w:jc w:val="both"/>
    </w:pPr>
    <w:rPr>
      <w:szCs w:val="20"/>
    </w:rPr>
  </w:style>
  <w:style w:type="character" w:styleId="606" w:customStyle="1">
    <w:name w:val="Основной текст с отступом Знак"/>
    <w:link w:val="605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607">
    <w:name w:val="No Spacing"/>
    <w:uiPriority w:val="99"/>
    <w:qFormat/>
    <w:rPr>
      <w:rFonts w:eastAsia="Times New Roman"/>
      <w:sz w:val="22"/>
      <w:szCs w:val="22"/>
    </w:rPr>
  </w:style>
  <w:style w:type="paragraph" w:styleId="608">
    <w:name w:val="Balloon Text"/>
    <w:basedOn w:val="599"/>
    <w:link w:val="609"/>
    <w:uiPriority w:val="99"/>
    <w:semiHidden/>
    <w:rPr>
      <w:rFonts w:ascii="Segoe UI" w:hAnsi="Segoe UI" w:cs="Segoe UI"/>
      <w:sz w:val="18"/>
      <w:szCs w:val="18"/>
    </w:rPr>
  </w:style>
  <w:style w:type="character" w:styleId="609" w:customStyle="1">
    <w:name w:val="Текст выноски Знак"/>
    <w:link w:val="608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610">
    <w:name w:val="Normal (Web)"/>
    <w:basedOn w:val="599"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611">
    <w:name w:val="Table Grid"/>
    <w:basedOn w:val="60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12">
    <w:name w:val="Hyperlink"/>
    <w:uiPriority w:val="99"/>
    <w:semiHidden/>
    <w:rPr>
      <w:rFonts w:cs="Times New Roman"/>
      <w:color w:val="0000ff"/>
      <w:u w:val="single"/>
    </w:rPr>
  </w:style>
  <w:style w:type="paragraph" w:styleId="613">
    <w:name w:val="Body Text 3"/>
    <w:basedOn w:val="599"/>
    <w:link w:val="614"/>
    <w:uiPriority w:val="99"/>
    <w:pPr>
      <w:spacing w:after="120"/>
    </w:pPr>
    <w:rPr>
      <w:sz w:val="16"/>
      <w:szCs w:val="16"/>
    </w:rPr>
  </w:style>
  <w:style w:type="character" w:styleId="614" w:customStyle="1">
    <w:name w:val="Основной текст 3 Знак"/>
    <w:link w:val="613"/>
    <w:uiPriority w:val="99"/>
    <w:rPr>
      <w:rFonts w:eastAsia="Times New Roman" w:cs="Times New Roman"/>
      <w:sz w:val="16"/>
      <w:szCs w:val="16"/>
      <w:lang w:val="ru-RU" w:eastAsia="ru-RU" w:bidi="ar-SA"/>
    </w:rPr>
  </w:style>
  <w:style w:type="character" w:styleId="615" w:customStyle="1">
    <w:name w:val="Основной текст_"/>
    <w:link w:val="616"/>
    <w:uiPriority w:val="99"/>
    <w:rPr>
      <w:rFonts w:ascii="Sylfaen" w:hAnsi="Sylfaen"/>
      <w:sz w:val="25"/>
    </w:rPr>
  </w:style>
  <w:style w:type="paragraph" w:styleId="616" w:customStyle="1">
    <w:name w:val="Основной текст2"/>
    <w:basedOn w:val="599"/>
    <w:link w:val="615"/>
    <w:uiPriority w:val="99"/>
    <w:pPr>
      <w:spacing w:line="245" w:lineRule="exact"/>
      <w:shd w:val="clear" w:color="auto" w:fill="ffffff"/>
    </w:pPr>
    <w:rPr>
      <w:rFonts w:ascii="Sylfaen" w:hAnsi="Sylfaen" w:eastAsia="Calibri"/>
      <w:sz w:val="25"/>
      <w:szCs w:val="20"/>
    </w:rPr>
  </w:style>
  <w:style w:type="character" w:styleId="617" w:customStyle="1">
    <w:name w:val="feeds-page__navigation_icon"/>
    <w:basedOn w:val="601"/>
  </w:style>
  <w:style w:type="character" w:styleId="618" w:customStyle="1">
    <w:name w:val="feeds-page__navigation_tooltip"/>
    <w:basedOn w:val="601"/>
  </w:style>
  <w:style w:type="character" w:styleId="619">
    <w:name w:val="Strong"/>
    <w:basedOn w:val="60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revision>26</cp:revision>
  <dcterms:created xsi:type="dcterms:W3CDTF">2024-04-14T21:32:00Z</dcterms:created>
  <dcterms:modified xsi:type="dcterms:W3CDTF">2024-11-28T12:01:44Z</dcterms:modified>
</cp:coreProperties>
</file>