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1"/>
        <w:rPr>
          <w:sz w:val="28"/>
        </w:rPr>
      </w:pPr>
      <w:r>
        <w:rPr>
          <w:sz w:val="28"/>
        </w:rPr>
        <w:t xml:space="preserve">Информация</w:t>
      </w:r>
      <w:r/>
    </w:p>
    <w:p>
      <w:pPr>
        <w:pStyle w:val="821"/>
        <w:rPr>
          <w:sz w:val="28"/>
          <w:szCs w:val="28"/>
        </w:rPr>
      </w:pPr>
      <w:r>
        <w:rPr>
          <w:sz w:val="28"/>
        </w:rPr>
        <w:t xml:space="preserve"> о состоянии окружающей среды на территории города Нижневартовска </w:t>
      </w:r>
      <w:r>
        <w:rPr>
          <w:sz w:val="28"/>
          <w:szCs w:val="28"/>
        </w:rPr>
      </w:r>
      <w:r/>
    </w:p>
    <w:p>
      <w:pPr>
        <w:pStyle w:val="82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состоянию на 01.01.202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</w:r>
      <w:r/>
    </w:p>
    <w:p>
      <w:pPr>
        <w:pStyle w:val="820"/>
        <w:ind w:firstLine="85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</w:rPr>
      </w:r>
      <w:r/>
    </w:p>
    <w:p>
      <w:pPr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Экологическое состояние города Нижневартовска отчасти обусловлено тем, что город находится в зоне техногенного воздействия нефтегазодобывающей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отрасли, так как основными отраслями промышленности в городе Нижневартовске и Нижневартовском районе являются нефтедобыча, нефтепереработка и газопереработка, транспортировка нефти и газа, энергетика, топливная промышленность, производство стройматериалов.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</w:r>
      <w:r/>
    </w:p>
    <w:p>
      <w:pPr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Основными источниками загрязнения атмосферного воздуха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являются сжигание попутного нефтяного газа на факелах, испарение легких компонентов нефтяных углеводородов с поверхности аварийных разливов, шламовых ам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баров, их резервуаров, выбросы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от котельных и автотранспорта.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Эпизодически вклад в состояние регионального уровня загрязнения атмосферы привносят лесные и торфяные пожары.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</w:r>
      <w:r/>
    </w:p>
    <w:p>
      <w:pPr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Контроль за состоянием атмосферного воздуха на территории города осуществляется на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1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стационарн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ом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пост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Ханты-Мансийского ЦГМС -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филиала ФГБУ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"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Обь-Иртышское УГМС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"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Перечень контролируемых ингредиентов включает: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пыль (взвешенные частицы),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диоксид серы, оксид углерода, диоксид азота, оксид азота, фенол, сажа, формальдегид.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</w:r>
      <w:r/>
    </w:p>
    <w:p>
      <w:pPr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 результатам проведенных в 20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году наблюдений превышение среднемесячных концентраций загрязняющих веществ в атмосферном воздухе не выявлено, с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лучаев высокого и экстремально высокого загрязнения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атмосферного воздуха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 территории города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не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зарегистрировано. </w:t>
      </w:r>
      <w:r/>
    </w:p>
    <w:p>
      <w:pPr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highlight w:val="none"/>
        </w:rPr>
        <w:t xml:space="preserve">За последние 13 лет на территории городских лесов в 2023 году был зарегистрирован один пожар, который был быстро потушен.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20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23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территории города Нижневартовска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специалистами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филиала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ФБУЗ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"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Центр гигиены и эпидемиологии в Ханты-Мансийском автономном округе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Югре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городе Нижневартовске и Нижневартовском районе, в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городе Мегионе и городе Радужном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"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роведен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239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мер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мощности дозы гамма-фона.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Максимальный зарегистрированный уровень дозы гамма-фона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равен среднему значению уровня за 2023 год и составил 0,8 мкЗв/ч.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Радиационная обстановка на территории города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стабильно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благоприятная.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</w:r>
      <w:r/>
    </w:p>
    <w:p>
      <w:pPr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Водные запасы на территории города представлены р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еками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Обь,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Большой Еган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Малый Еган, Рязанский Еган, пр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отокой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Большая Рязанка, озерами Комсомольск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Эмтор, Голуб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Кедровое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 границе городской черты находятся озера Церковное и Рямное.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</w:r>
      <w:r/>
    </w:p>
    <w:p>
      <w:pPr>
        <w:ind w:firstLine="708"/>
        <w:jc w:val="both"/>
        <w:rPr>
          <w:rFonts w:ascii="Times New Roman" w:hAnsi="Times New Roman" w:cs="Times New Roman"/>
          <w:iCs/>
          <w:color w:val="000000"/>
          <w:spacing w:val="-2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Нижнев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артовский гидрохимический пост,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 котором контролируется качество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поверхностных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вод, расположен на реке Обь.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Для характеристики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степени загрязненности водных объектов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используется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удельн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ый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комбинаторн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ый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индекс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загрязн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нности воды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(УКИЗВ)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оценива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ющий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долю загрязняющего эффекта, вносимого в общую степень загрязн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нности воды, обусловленную одновременным присутствием ряда загрязняющих веществ.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Характерными загрязняющими веществами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для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водных объектов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Ханты-Мансийского автон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омного округа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Югры являются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железо, марганец, медь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цинк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 органические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вещества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(ХПК).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 данным Ханты-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Мансийского ЦГМС – филиала ФГБУ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"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Обь-Иртышское УГМС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"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тепень загрязненности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воды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рек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Обь в районе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гидрохимического поста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Нижневартовск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 20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23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оценивается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ак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грязная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случаев высокого загрязнения и экстремально высокого загрязнения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воды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 истекший период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не наблюдалось.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Городские сточные воды очищаются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до нормативных показателей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на канализационных очистных сооружения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 сбрасываются в реку Рязанский Еган.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</w:r>
      <w:r/>
    </w:p>
    <w:p>
      <w:pPr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Основной вид негативн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ого воздействия на городские земельные ресурсы - захламление отходами производства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 потреблени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рамках муниципальных контрактов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ликвидирован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58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мест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несанкционированного размещения отходов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В результате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проведенных мероприятий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вывезено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 размещение (обезвреживание)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2 720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отходов различных классов опасности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1,8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т биологических отходов,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719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штук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отработанных люминесцентных ламп,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50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тонн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ы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автомобильных покрышек. Очищены земельные участки на площади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2,29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га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</w:r>
      <w:r/>
    </w:p>
    <w:p>
      <w:pPr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20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проводилась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акция по уборке берегов рек и озер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рамках регионального проекта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bidi="ru-RU"/>
        </w:rPr>
        <w:t xml:space="preserve">"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Сохранение уникальных водных объектов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bidi="ru-RU"/>
        </w:rPr>
        <w:t xml:space="preserve">"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национального проекта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bidi="ru-RU"/>
        </w:rPr>
        <w:t xml:space="preserve">"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Экология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bidi="ru-RU"/>
        </w:rPr>
        <w:t xml:space="preserve">"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в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ходе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которой проведено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10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субботник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при участии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1100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волонтеров очищено 12,1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км береговой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линии водных объектов: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р. Обь, пр. Мысовая Мега, р. Рязанский Еган, р. Малый Еган, оз. Комсо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мольское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</w:r>
      <w:r/>
    </w:p>
    <w:p>
      <w:pPr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В сфере об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раще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ния с отходами в городе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работа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29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 с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пециализированн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ы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х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организаци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,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действу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6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0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 установ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ок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 по предварительной обработке, обезвреживанию и утилизации различных видов отхо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дов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 2018 году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 запущен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br w:type="textWrapping" w:clear="all"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в эксплуатацию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мусоросортировочный комплекс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В 2023 году на территории города образовано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и обработано на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мус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оросортировочном комплексе ООО "Баркас+"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69,99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тыс. т отходов,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направлено на утилиз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ацию на ведущие заводы страны 5,42 тыс. т вторсырья.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</w:r>
      <w:r/>
    </w:p>
    <w:p>
      <w:pPr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Неутильные фракции направляются для размещения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 полигоне ТК</w:t>
      </w:r>
      <w:bookmarkStart w:id="0" w:name="undefine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</w:r>
      <w:bookmarkEnd w:id="0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 </w:t>
        <w:br/>
        <w:t xml:space="preserve">г. Мегиона,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расположенном в пгт. Высокий (ООО "ЖКАП")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так как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работа Нижневартовского полигона по утилизации и захоронению отходов производства и потребления прекращена, он выведен из эксплуатации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марте 2020 года.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</w:r>
      <w:r/>
    </w:p>
    <w:p>
      <w:pPr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  <w14:ligatures w14:val="none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Нижневартовский полигон эксплуатировался с 1970 года, в течение 50 лет было накоплено 2 443,9 тыс. м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vertAlign w:val="superscript"/>
        </w:rPr>
        <w:t xml:space="preserve">3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отходов.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14:ligatures w14:val="none"/>
        </w:rPr>
      </w:r>
    </w:p>
    <w:p>
      <w:pPr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В 2022-2023 годах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рамках реализации регионально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го и федерального проектов "Чистая страна" национального проекта "Экология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" проведен к</w:t>
      </w:r>
      <w:r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омплекс мероприятий по выполнению технического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 биологического этапов рекультивации полигона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</w:r>
      <w:r/>
      <w:r>
        <w:rPr>
          <w:rFonts w:ascii="Times New Roman" w:hAnsi="Times New Roman" w:cs="Times New Roman"/>
          <w:color w:val="000000"/>
          <w:spacing w:val="-2"/>
          <w:sz w:val="28"/>
          <w:szCs w:val="28"/>
          <w14:ligatures w14:val="none"/>
        </w:rPr>
      </w:r>
    </w:p>
    <w:p>
      <w:pPr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Основной целью проводимых рабо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 по рекультивации полигона является восстановление нарушенных земель с возможностью их дальнейшего использования. Завершение работ по рекультивации в 2023 году привело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  <w:t xml:space="preserve">к достижению целевых показателей национального проекта "Экология":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</w:r>
      <w:r/>
    </w:p>
    <w:p>
      <w:pPr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 общая площадь ре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культивированных земель составила 20,71 га;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</w:r>
      <w:r/>
    </w:p>
    <w:p>
      <w:pPr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 ликвидирована одна свалка в границах города;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</w:r>
      <w:r/>
    </w:p>
    <w:p>
      <w:pPr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 улучшилось качество жизни населения города численностью 278,7 тыс. человек.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</w:r>
      <w:r/>
    </w:p>
    <w:p>
      <w:pPr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Для раздельного накопления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твердых коммунальных отходов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br w:type="textWrapping" w:clear="all"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от населения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 в жилых микрорайонах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установлено 395 сетчатых контейнеров для полимерных отходов (ПЭТ-бутылки и другие виды пластмасс). Для накопления опасных отходов установлено 314 специализированных контейнеров ти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па "Экобокс",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12 спе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  <w:t xml:space="preserve">циализированных контейнеров для отходов бумаги и картона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 w:bidi="ru-RU"/>
        </w:rPr>
        <w:t xml:space="preserve">. Раздельное накопление отходов также осуществляется в местах общего пользования и муниципальных учреждениях города.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  <w:t xml:space="preserve"> В городе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  <w:t xml:space="preserve">открыты и успешно функционируют четыре пункта приема вторичных ресурсов, где за вознаграждение у населения принимают раздельно накопленные отходы бумаг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  <w:t xml:space="preserve">и, пластика, стекла, металла, полиэтилена, пленки упаковочной, и другие.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</w:r>
      <w:r/>
    </w:p>
    <w:p>
      <w:pPr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Для сохранения благоприятной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экологической ситуации и снижении негативного воздействия на окружающую среду в городе реал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из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уется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муниципальн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ая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"Оздоровление экологической обс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тановки в городе Нижневартовске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"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567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Georgia">
    <w:panose1 w:val="02040502050405020303"/>
  </w:font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820"/>
        <w:ind w:left="0" w:firstLine="0"/>
      </w:pPr>
      <w:rPr>
        <w:b w:val="0"/>
        <w:bCs w:val="0"/>
        <w:i w:val="0"/>
        <w:iCs w:val="0"/>
        <w:smallCaps w:val="0"/>
        <w:strike w:val="0"/>
        <w:color w:val="161616"/>
        <w:spacing w:val="0"/>
        <w:position w:val="0"/>
        <w:sz w:val="26"/>
        <w:szCs w:val="26"/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pStyle w:val="820"/>
        <w:ind w:left="0" w:firstLine="0"/>
      </w:pPr>
      <w:rPr>
        <w:b w:val="0"/>
        <w:bCs w:val="0"/>
        <w:i w:val="0"/>
        <w:iCs w:val="0"/>
        <w:smallCaps w:val="0"/>
        <w:strike w:val="0"/>
        <w:color w:val="161616"/>
        <w:spacing w:val="0"/>
        <w:position w:val="0"/>
        <w:sz w:val="26"/>
        <w:szCs w:val="26"/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pStyle w:val="820"/>
        <w:ind w:left="0" w:firstLine="0"/>
      </w:pPr>
      <w:rPr>
        <w:b w:val="0"/>
        <w:bCs w:val="0"/>
        <w:i w:val="0"/>
        <w:iCs w:val="0"/>
        <w:smallCaps w:val="0"/>
        <w:strike w:val="0"/>
        <w:color w:val="161616"/>
        <w:spacing w:val="0"/>
        <w:position w:val="0"/>
        <w:sz w:val="26"/>
        <w:szCs w:val="26"/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pStyle w:val="820"/>
        <w:ind w:left="0" w:firstLine="0"/>
      </w:pPr>
      <w:rPr>
        <w:b w:val="0"/>
        <w:bCs w:val="0"/>
        <w:i w:val="0"/>
        <w:iCs w:val="0"/>
        <w:smallCaps w:val="0"/>
        <w:strike w:val="0"/>
        <w:color w:val="161616"/>
        <w:spacing w:val="0"/>
        <w:position w:val="0"/>
        <w:sz w:val="26"/>
        <w:szCs w:val="26"/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pStyle w:val="820"/>
        <w:ind w:left="0" w:firstLine="0"/>
      </w:pPr>
      <w:rPr>
        <w:b w:val="0"/>
        <w:bCs w:val="0"/>
        <w:i w:val="0"/>
        <w:iCs w:val="0"/>
        <w:smallCaps w:val="0"/>
        <w:strike w:val="0"/>
        <w:color w:val="161616"/>
        <w:spacing w:val="0"/>
        <w:position w:val="0"/>
        <w:sz w:val="26"/>
        <w:szCs w:val="26"/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pStyle w:val="820"/>
        <w:ind w:left="0" w:firstLine="0"/>
      </w:pPr>
      <w:rPr>
        <w:b w:val="0"/>
        <w:bCs w:val="0"/>
        <w:i w:val="0"/>
        <w:iCs w:val="0"/>
        <w:smallCaps w:val="0"/>
        <w:strike w:val="0"/>
        <w:color w:val="161616"/>
        <w:spacing w:val="0"/>
        <w:position w:val="0"/>
        <w:sz w:val="26"/>
        <w:szCs w:val="26"/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pStyle w:val="820"/>
        <w:ind w:left="0" w:firstLine="0"/>
      </w:pPr>
      <w:rPr>
        <w:b w:val="0"/>
        <w:bCs w:val="0"/>
        <w:i w:val="0"/>
        <w:iCs w:val="0"/>
        <w:smallCaps w:val="0"/>
        <w:strike w:val="0"/>
        <w:color w:val="161616"/>
        <w:spacing w:val="0"/>
        <w:position w:val="0"/>
        <w:sz w:val="26"/>
        <w:szCs w:val="26"/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pStyle w:val="820"/>
        <w:ind w:left="0" w:firstLine="0"/>
      </w:pPr>
      <w:rPr>
        <w:b w:val="0"/>
        <w:bCs w:val="0"/>
        <w:i w:val="0"/>
        <w:iCs w:val="0"/>
        <w:smallCaps w:val="0"/>
        <w:strike w:val="0"/>
        <w:color w:val="161616"/>
        <w:spacing w:val="0"/>
        <w:position w:val="0"/>
        <w:sz w:val="26"/>
        <w:szCs w:val="26"/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pStyle w:val="820"/>
        <w:ind w:left="0" w:firstLine="0"/>
      </w:pPr>
      <w:rPr>
        <w:b w:val="0"/>
        <w:bCs w:val="0"/>
        <w:i w:val="0"/>
        <w:iCs w:val="0"/>
        <w:smallCaps w:val="0"/>
        <w:strike w:val="0"/>
        <w:color w:val="161616"/>
        <w:spacing w:val="0"/>
        <w:position w:val="0"/>
        <w:sz w:val="26"/>
        <w:szCs w:val="26"/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20"/>
        <w:ind w:left="1260" w:hanging="360"/>
        <w:tabs>
          <w:tab w:val="num" w:pos="12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20"/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20"/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20"/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20"/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20"/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20"/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20"/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20"/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0"/>
        <w:ind w:left="735" w:hanging="375"/>
        <w:tabs>
          <w:tab w:val="num" w:pos="73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20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20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20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20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20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20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20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20"/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>
    <w:name w:val="Heading 1"/>
    <w:basedOn w:val="820"/>
    <w:next w:val="820"/>
    <w:link w:val="6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3">
    <w:name w:val="Heading 1 Char"/>
    <w:link w:val="642"/>
    <w:uiPriority w:val="9"/>
    <w:rPr>
      <w:rFonts w:ascii="Arial" w:hAnsi="Arial" w:eastAsia="Arial" w:cs="Arial"/>
      <w:sz w:val="40"/>
      <w:szCs w:val="40"/>
    </w:rPr>
  </w:style>
  <w:style w:type="paragraph" w:styleId="644">
    <w:name w:val="Heading 2"/>
    <w:basedOn w:val="820"/>
    <w:next w:val="820"/>
    <w:link w:val="6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5">
    <w:name w:val="Heading 2 Char"/>
    <w:link w:val="644"/>
    <w:uiPriority w:val="9"/>
    <w:rPr>
      <w:rFonts w:ascii="Arial" w:hAnsi="Arial" w:eastAsia="Arial" w:cs="Arial"/>
      <w:sz w:val="34"/>
    </w:rPr>
  </w:style>
  <w:style w:type="paragraph" w:styleId="646">
    <w:name w:val="Heading 3"/>
    <w:basedOn w:val="820"/>
    <w:next w:val="820"/>
    <w:link w:val="6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7">
    <w:name w:val="Heading 3 Char"/>
    <w:link w:val="646"/>
    <w:uiPriority w:val="9"/>
    <w:rPr>
      <w:rFonts w:ascii="Arial" w:hAnsi="Arial" w:eastAsia="Arial" w:cs="Arial"/>
      <w:sz w:val="30"/>
      <w:szCs w:val="30"/>
    </w:rPr>
  </w:style>
  <w:style w:type="paragraph" w:styleId="648">
    <w:name w:val="Heading 4"/>
    <w:basedOn w:val="820"/>
    <w:next w:val="820"/>
    <w:link w:val="6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9">
    <w:name w:val="Heading 4 Char"/>
    <w:link w:val="648"/>
    <w:uiPriority w:val="9"/>
    <w:rPr>
      <w:rFonts w:ascii="Arial" w:hAnsi="Arial" w:eastAsia="Arial" w:cs="Arial"/>
      <w:b/>
      <w:bCs/>
      <w:sz w:val="26"/>
      <w:szCs w:val="26"/>
    </w:rPr>
  </w:style>
  <w:style w:type="paragraph" w:styleId="650">
    <w:name w:val="Heading 5"/>
    <w:basedOn w:val="820"/>
    <w:next w:val="820"/>
    <w:link w:val="6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1">
    <w:name w:val="Heading 5 Char"/>
    <w:link w:val="650"/>
    <w:uiPriority w:val="9"/>
    <w:rPr>
      <w:rFonts w:ascii="Arial" w:hAnsi="Arial" w:eastAsia="Arial" w:cs="Arial"/>
      <w:b/>
      <w:bCs/>
      <w:sz w:val="24"/>
      <w:szCs w:val="24"/>
    </w:rPr>
  </w:style>
  <w:style w:type="paragraph" w:styleId="652">
    <w:name w:val="Heading 6"/>
    <w:basedOn w:val="820"/>
    <w:next w:val="820"/>
    <w:link w:val="6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3">
    <w:name w:val="Heading 6 Char"/>
    <w:link w:val="652"/>
    <w:uiPriority w:val="9"/>
    <w:rPr>
      <w:rFonts w:ascii="Arial" w:hAnsi="Arial" w:eastAsia="Arial" w:cs="Arial"/>
      <w:b/>
      <w:bCs/>
      <w:sz w:val="22"/>
      <w:szCs w:val="22"/>
    </w:rPr>
  </w:style>
  <w:style w:type="paragraph" w:styleId="654">
    <w:name w:val="Heading 7"/>
    <w:basedOn w:val="820"/>
    <w:next w:val="820"/>
    <w:link w:val="6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5">
    <w:name w:val="Heading 7 Char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6">
    <w:name w:val="Heading 8"/>
    <w:basedOn w:val="820"/>
    <w:next w:val="820"/>
    <w:link w:val="6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7">
    <w:name w:val="Heading 8 Char"/>
    <w:link w:val="656"/>
    <w:uiPriority w:val="9"/>
    <w:rPr>
      <w:rFonts w:ascii="Arial" w:hAnsi="Arial" w:eastAsia="Arial" w:cs="Arial"/>
      <w:i/>
      <w:iCs/>
      <w:sz w:val="22"/>
      <w:szCs w:val="22"/>
    </w:rPr>
  </w:style>
  <w:style w:type="paragraph" w:styleId="658">
    <w:name w:val="Heading 9"/>
    <w:basedOn w:val="820"/>
    <w:next w:val="820"/>
    <w:link w:val="6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9">
    <w:name w:val="Heading 9 Char"/>
    <w:link w:val="658"/>
    <w:uiPriority w:val="9"/>
    <w:rPr>
      <w:rFonts w:ascii="Arial" w:hAnsi="Arial" w:eastAsia="Arial" w:cs="Arial"/>
      <w:i/>
      <w:iCs/>
      <w:sz w:val="21"/>
      <w:szCs w:val="21"/>
    </w:rPr>
  </w:style>
  <w:style w:type="paragraph" w:styleId="660">
    <w:name w:val="List Paragraph"/>
    <w:basedOn w:val="820"/>
    <w:uiPriority w:val="34"/>
    <w:qFormat/>
    <w:pPr>
      <w:contextualSpacing/>
      <w:ind w:left="720"/>
    </w:pPr>
  </w:style>
  <w:style w:type="paragraph" w:styleId="661">
    <w:name w:val="No Spacing"/>
    <w:uiPriority w:val="1"/>
    <w:qFormat/>
    <w:pPr>
      <w:spacing w:before="0" w:after="0" w:line="240" w:lineRule="auto"/>
    </w:pPr>
  </w:style>
  <w:style w:type="paragraph" w:styleId="662">
    <w:name w:val="Title"/>
    <w:basedOn w:val="820"/>
    <w:next w:val="820"/>
    <w:link w:val="6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3">
    <w:name w:val="Title Char"/>
    <w:link w:val="662"/>
    <w:uiPriority w:val="10"/>
    <w:rPr>
      <w:sz w:val="48"/>
      <w:szCs w:val="48"/>
    </w:rPr>
  </w:style>
  <w:style w:type="paragraph" w:styleId="664">
    <w:name w:val="Subtitle"/>
    <w:basedOn w:val="820"/>
    <w:next w:val="820"/>
    <w:link w:val="665"/>
    <w:uiPriority w:val="11"/>
    <w:qFormat/>
    <w:pPr>
      <w:spacing w:before="200" w:after="200"/>
    </w:pPr>
    <w:rPr>
      <w:sz w:val="24"/>
      <w:szCs w:val="24"/>
    </w:rPr>
  </w:style>
  <w:style w:type="character" w:styleId="665">
    <w:name w:val="Subtitle Char"/>
    <w:link w:val="664"/>
    <w:uiPriority w:val="11"/>
    <w:rPr>
      <w:sz w:val="24"/>
      <w:szCs w:val="24"/>
    </w:rPr>
  </w:style>
  <w:style w:type="paragraph" w:styleId="666">
    <w:name w:val="Quote"/>
    <w:basedOn w:val="820"/>
    <w:next w:val="820"/>
    <w:link w:val="667"/>
    <w:uiPriority w:val="29"/>
    <w:qFormat/>
    <w:pPr>
      <w:ind w:left="720" w:right="720"/>
    </w:pPr>
    <w:rPr>
      <w:i/>
    </w:rPr>
  </w:style>
  <w:style w:type="character" w:styleId="667">
    <w:name w:val="Quote Char"/>
    <w:link w:val="666"/>
    <w:uiPriority w:val="29"/>
    <w:rPr>
      <w:i/>
    </w:rPr>
  </w:style>
  <w:style w:type="paragraph" w:styleId="668">
    <w:name w:val="Intense Quote"/>
    <w:basedOn w:val="820"/>
    <w:next w:val="820"/>
    <w:link w:val="6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>
    <w:name w:val="Intense Quote Char"/>
    <w:link w:val="668"/>
    <w:uiPriority w:val="30"/>
    <w:rPr>
      <w:i/>
    </w:rPr>
  </w:style>
  <w:style w:type="paragraph" w:styleId="670">
    <w:name w:val="Header"/>
    <w:basedOn w:val="820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Header Char"/>
    <w:link w:val="670"/>
    <w:uiPriority w:val="99"/>
  </w:style>
  <w:style w:type="paragraph" w:styleId="672">
    <w:name w:val="Footer"/>
    <w:basedOn w:val="820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Footer Char"/>
    <w:link w:val="672"/>
    <w:uiPriority w:val="99"/>
  </w:style>
  <w:style w:type="paragraph" w:styleId="674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5">
    <w:name w:val="Caption Char"/>
    <w:basedOn w:val="674"/>
    <w:link w:val="672"/>
    <w:uiPriority w:val="99"/>
  </w:style>
  <w:style w:type="table" w:styleId="67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paragraph" w:styleId="803">
    <w:name w:val="footnote text"/>
    <w:basedOn w:val="820"/>
    <w:link w:val="804"/>
    <w:uiPriority w:val="99"/>
    <w:semiHidden/>
    <w:unhideWhenUsed/>
    <w:pPr>
      <w:spacing w:after="40" w:line="240" w:lineRule="auto"/>
    </w:pPr>
    <w:rPr>
      <w:sz w:val="18"/>
    </w:rPr>
  </w:style>
  <w:style w:type="character" w:styleId="804">
    <w:name w:val="Footnote Text Char"/>
    <w:link w:val="803"/>
    <w:uiPriority w:val="99"/>
    <w:rPr>
      <w:sz w:val="18"/>
    </w:rPr>
  </w:style>
  <w:style w:type="character" w:styleId="805">
    <w:name w:val="footnote reference"/>
    <w:uiPriority w:val="99"/>
    <w:unhideWhenUsed/>
    <w:rPr>
      <w:vertAlign w:val="superscript"/>
    </w:rPr>
  </w:style>
  <w:style w:type="paragraph" w:styleId="806">
    <w:name w:val="endnote text"/>
    <w:basedOn w:val="820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>
    <w:name w:val="Endnote Text Char"/>
    <w:link w:val="806"/>
    <w:uiPriority w:val="99"/>
    <w:rPr>
      <w:sz w:val="20"/>
    </w:rPr>
  </w:style>
  <w:style w:type="character" w:styleId="808">
    <w:name w:val="endnote reference"/>
    <w:uiPriority w:val="99"/>
    <w:semiHidden/>
    <w:unhideWhenUsed/>
    <w:rPr>
      <w:vertAlign w:val="superscript"/>
    </w:rPr>
  </w:style>
  <w:style w:type="paragraph" w:styleId="809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0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1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2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3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4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5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6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7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next w:val="820"/>
    <w:link w:val="820"/>
    <w:qFormat/>
    <w:rPr>
      <w:sz w:val="24"/>
      <w:szCs w:val="24"/>
      <w:lang w:val="ru-RU" w:eastAsia="ru-RU" w:bidi="ar-SA"/>
    </w:rPr>
  </w:style>
  <w:style w:type="paragraph" w:styleId="821">
    <w:name w:val="Заголовок 1"/>
    <w:basedOn w:val="820"/>
    <w:next w:val="820"/>
    <w:link w:val="820"/>
    <w:qFormat/>
    <w:pPr>
      <w:jc w:val="center"/>
      <w:keepNext/>
      <w:outlineLvl w:val="0"/>
    </w:pPr>
    <w:rPr>
      <w:rFonts w:eastAsia="Arial Unicode MS"/>
      <w:b/>
      <w:sz w:val="32"/>
      <w:szCs w:val="20"/>
    </w:rPr>
  </w:style>
  <w:style w:type="paragraph" w:styleId="822">
    <w:name w:val="Заголовок 2"/>
    <w:basedOn w:val="820"/>
    <w:next w:val="820"/>
    <w:link w:val="832"/>
    <w:qFormat/>
    <w:pPr>
      <w:ind w:left="-180" w:right="700"/>
      <w:jc w:val="both"/>
      <w:keepNext/>
      <w:tabs>
        <w:tab w:val="left" w:pos="-180" w:leader="none"/>
      </w:tabs>
      <w:outlineLvl w:val="1"/>
    </w:pPr>
    <w:rPr>
      <w:sz w:val="28"/>
      <w:szCs w:val="28"/>
      <w:lang w:val="en-US" w:eastAsia="en-US"/>
    </w:rPr>
  </w:style>
  <w:style w:type="paragraph" w:styleId="823">
    <w:name w:val="Заголовок 5"/>
    <w:basedOn w:val="820"/>
    <w:next w:val="820"/>
    <w:link w:val="820"/>
    <w:qFormat/>
    <w:pPr>
      <w:jc w:val="center"/>
      <w:keepNext/>
      <w:outlineLvl w:val="4"/>
    </w:pPr>
    <w:rPr>
      <w:rFonts w:eastAsia="Arial Unicode MS"/>
      <w:sz w:val="28"/>
    </w:rPr>
  </w:style>
  <w:style w:type="character" w:styleId="824">
    <w:name w:val="Основной шрифт абзаца"/>
    <w:next w:val="824"/>
    <w:link w:val="820"/>
    <w:semiHidden/>
  </w:style>
  <w:style w:type="table" w:styleId="825">
    <w:name w:val="Обычная таблица"/>
    <w:next w:val="825"/>
    <w:link w:val="820"/>
    <w:semiHidden/>
    <w:tblPr/>
  </w:style>
  <w:style w:type="numbering" w:styleId="826">
    <w:name w:val="Нет списка"/>
    <w:next w:val="826"/>
    <w:link w:val="820"/>
    <w:semiHidden/>
  </w:style>
  <w:style w:type="paragraph" w:styleId="827">
    <w:name w:val="Основной текст с отступом"/>
    <w:basedOn w:val="820"/>
    <w:next w:val="827"/>
    <w:link w:val="831"/>
    <w:pPr>
      <w:ind w:left="4680"/>
    </w:pPr>
    <w:rPr>
      <w:lang w:val="en-US" w:eastAsia="en-US"/>
    </w:rPr>
  </w:style>
  <w:style w:type="paragraph" w:styleId="828">
    <w:name w:val="Текст выноски"/>
    <w:basedOn w:val="820"/>
    <w:next w:val="828"/>
    <w:link w:val="820"/>
    <w:semiHidden/>
    <w:rPr>
      <w:rFonts w:ascii="Tahoma" w:hAnsi="Tahoma" w:cs="Tahoma"/>
      <w:sz w:val="16"/>
      <w:szCs w:val="16"/>
    </w:rPr>
  </w:style>
  <w:style w:type="table" w:styleId="829">
    <w:name w:val="Сетка таблицы"/>
    <w:basedOn w:val="825"/>
    <w:next w:val="829"/>
    <w:link w:val="820"/>
    <w:tblPr/>
  </w:style>
  <w:style w:type="paragraph" w:styleId="830">
    <w:name w:val="Стандартный HTML"/>
    <w:basedOn w:val="820"/>
    <w:next w:val="830"/>
    <w:link w:val="820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831">
    <w:name w:val="Основной текст с отступом Знак"/>
    <w:next w:val="831"/>
    <w:link w:val="827"/>
    <w:rPr>
      <w:sz w:val="24"/>
      <w:szCs w:val="24"/>
    </w:rPr>
  </w:style>
  <w:style w:type="character" w:styleId="832">
    <w:name w:val="Заголовок 2 Знак"/>
    <w:next w:val="832"/>
    <w:link w:val="822"/>
    <w:rPr>
      <w:sz w:val="28"/>
      <w:szCs w:val="28"/>
    </w:rPr>
  </w:style>
  <w:style w:type="paragraph" w:styleId="833">
    <w:name w:val="Основной текст"/>
    <w:basedOn w:val="820"/>
    <w:next w:val="833"/>
    <w:link w:val="834"/>
    <w:pPr>
      <w:spacing w:after="120"/>
    </w:pPr>
    <w:rPr>
      <w:lang w:val="en-US" w:eastAsia="en-US"/>
    </w:rPr>
  </w:style>
  <w:style w:type="character" w:styleId="834">
    <w:name w:val="Основной текст Знак"/>
    <w:next w:val="834"/>
    <w:link w:val="833"/>
    <w:rPr>
      <w:sz w:val="24"/>
      <w:szCs w:val="24"/>
    </w:rPr>
  </w:style>
  <w:style w:type="paragraph" w:styleId="835">
    <w:name w:val="Обычный (веб)"/>
    <w:basedOn w:val="820"/>
    <w:next w:val="835"/>
    <w:link w:val="820"/>
    <w:uiPriority w:val="99"/>
    <w:unhideWhenUsed/>
    <w:pPr>
      <w:spacing w:before="100" w:beforeAutospacing="1" w:after="100" w:afterAutospacing="1"/>
    </w:pPr>
  </w:style>
  <w:style w:type="character" w:styleId="836">
    <w:name w:val="Строгий"/>
    <w:next w:val="836"/>
    <w:link w:val="820"/>
    <w:uiPriority w:val="22"/>
    <w:qFormat/>
    <w:rPr>
      <w:b/>
      <w:bCs/>
    </w:rPr>
  </w:style>
  <w:style w:type="paragraph" w:styleId="837">
    <w:name w:val="Default"/>
    <w:next w:val="837"/>
    <w:link w:val="820"/>
    <w:rPr>
      <w:rFonts w:ascii="Georgia" w:hAnsi="Georgia" w:cs="Georgia"/>
      <w:color w:val="000000"/>
      <w:sz w:val="24"/>
      <w:szCs w:val="24"/>
      <w:lang w:val="ru-RU" w:eastAsia="ru-RU" w:bidi="ar-SA"/>
    </w:rPr>
  </w:style>
  <w:style w:type="character" w:styleId="838" w:default="1">
    <w:name w:val="Default Paragraph Font"/>
    <w:uiPriority w:val="1"/>
    <w:semiHidden/>
    <w:unhideWhenUsed/>
  </w:style>
  <w:style w:type="numbering" w:styleId="839" w:default="1">
    <w:name w:val="No List"/>
    <w:uiPriority w:val="99"/>
    <w:semiHidden/>
    <w:unhideWhenUsed/>
  </w:style>
  <w:style w:type="table" w:styleId="84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Громова Е</dc:creator>
  <cp:revision>7</cp:revision>
  <dcterms:created xsi:type="dcterms:W3CDTF">2023-03-15T04:50:00Z</dcterms:created>
  <dcterms:modified xsi:type="dcterms:W3CDTF">2024-03-04T09:20:18Z</dcterms:modified>
  <cp:version>1048576</cp:version>
</cp:coreProperties>
</file>