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Приложение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5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 к протоколу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заседания Совета по вопросам развития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инвестиционной деятельности в городе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Нижневартовске от 28.04.2022 №30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  <w:t>Вопрос 4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Совета по вопросам развития </w:t>
      </w:r>
      <w:r>
        <w:rPr>
          <w:rFonts w:cs="Tinos" w:ascii="Times New Roman" w:hAnsi="Times New Roman"/>
          <w:b/>
          <w:bCs/>
          <w:color w:val="000000"/>
          <w:sz w:val="28"/>
          <w:szCs w:val="28"/>
        </w:rPr>
        <w:t>инвестиционной деятельности в городе Нижневартовске 28.04.2022</w:t>
      </w:r>
    </w:p>
    <w:p>
      <w:pPr>
        <w:pStyle w:val="Normal"/>
        <w:spacing w:lineRule="auto" w:line="216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16" w:before="114" w:after="114"/>
        <w:ind w:firstLine="709"/>
        <w:jc w:val="center"/>
        <w:rPr/>
      </w:pPr>
      <w:r>
        <w:rPr>
          <w:rFonts w:eastAsia="Calibri" w:cs="Tinos" w:ascii="Tinos" w:hAnsi="Tinos"/>
          <w:b/>
          <w:bCs/>
          <w:color w:val="000000"/>
          <w:sz w:val="28"/>
          <w:szCs w:val="28"/>
        </w:rPr>
        <w:t xml:space="preserve">Опыт реализации инвестиционных проектов с привлечением мер поддержки на территории </w:t>
      </w:r>
      <w:r>
        <w:rPr>
          <w:rFonts w:cs="Tinos" w:ascii="Tinos" w:hAnsi="Tinos"/>
          <w:b/>
          <w:bCs/>
          <w:color w:val="000000"/>
          <w:sz w:val="28"/>
          <w:szCs w:val="28"/>
        </w:rPr>
        <w:t>ХМАО-Югры</w:t>
      </w:r>
    </w:p>
    <w:p>
      <w:pPr>
        <w:pStyle w:val="Normal"/>
        <w:spacing w:lineRule="auto" w:line="216" w:before="0" w:after="0"/>
        <w:ind w:firstLine="709"/>
        <w:jc w:val="center"/>
        <w:rPr>
          <w:rFonts w:ascii="Tinos" w:hAnsi="Tinos" w:cs="Tinos"/>
          <w:b/>
          <w:b/>
          <w:bCs/>
          <w:color w:val="000000"/>
          <w:sz w:val="28"/>
          <w:szCs w:val="28"/>
        </w:rPr>
      </w:pPr>
      <w:r>
        <w:rPr>
          <w:rFonts w:cs="Tinos" w:ascii="Tinos" w:hAnsi="Tino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Шульга Наталья Владимировна, индивидуальный предприниматель.</w:t>
      </w:r>
    </w:p>
    <w:p>
      <w:pPr>
        <w:pStyle w:val="Normal"/>
        <w:spacing w:lineRule="auto" w:line="240" w:before="114" w:after="1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Финансово-аналитический центр «Бизнес-План» 12 лет специализируется на составлении бизнес-планов, технико-экономических обоснований, финансовых моделей и концепций развития предприятий по всей РФ. На сегодняшний день города присутствия компании: Нижневартовск, Сургут, Тюмень, Ростов-на-Дону, Сочи.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протяжении 12 лет компания сотрудничает с институтами поддержки малого и среднего предпринимательства на территории Ханты-Мансийского автономного округа-Югры: Фонд поддержки предпринимательства Югры «Мой Бизнес», Фонд Развития Югры, Центры занятости населения МО, Управления Социальной защиты населения МО и Управление по развитию промышленности и предпринимательства Администрации города Нижневартовска. 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Доклад основан на рабочих данных компании «Бизнес-План» за 2021-2022 гг., отражает актуальную картину взаимодействия СМСП и организаций поддержки малого и среднего предпринимательства. Ниже рассмотрим существующие меры поддержки на территории ХМАО-Югры в части льготного кредитования и субсидирования инвестиционных проектов. 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рамках взаимодействия с Фондом Развития Югры за 2021-2022 гг. нашей компанией было составлено 5 инвестиционных проектов на общую сумму более 250 млн рублей. Перечень проектов представлен на слайде. Статистика такова, что всего 1 проект профинансирован, 2 проекта находятся на стадии рассмотрения и согласования обеспечения в ФРЮ, 2 проекта заморожены по причине недостаточности обеспечения либо несоответствия требованиям фонда развития Югры в части судебных разбирательств учредителей и иных причин. Фактическая длительность рассмотрения заявки, экспертизы проекта, привлечения средств составляет 3-6 месяцев.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 как наша компания выступает неким посредником между имеющимися программами поддержки и соискателями инвестиций, то мы можем выделить общие сложности, с которыми сталкиваются компании, обращающиеся за инвестициями. На слайде вы видите основные трудности привлечения льготного кредитования по программам Фонда Развития Югры: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114" w:after="114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Высокие понижающие коэффициенты (на уровне банка), применяемые к стоимости объекта залога;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114" w:after="114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 невозможно получить Банковскую гарантию на обеспечение кредита, если его срок более 5 лет (Банки не выдают), и, как следствие, невозможно привлечь кредит по ставке 1%;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114" w:after="114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Доскональная проверка всех учредителей, в том числе и иных компаний, в которых они являются учредителями;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114" w:after="114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Предоставление полного пакета документов на контрагентов и поставщиков, если они реализуют более 20% от целевого займа;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114" w:after="114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Обоснование источников собственных средств, которые будут вложены в проект в ходе его реализации.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Иными словами, привлечь кредитные денежные средства от 5 000 000 и до 500 000 000 рублей по льготной ставке от 1 до 3% могут только финансово устойчивые компании, которые имеют объекты недвижимости и могут предоставить их в качестве залога.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Грантовая поддержка на уровне города Нижневартовска и Округа работает эффективно и является стимулирующим инструментом развития СМСП. 90% соискателей проходят обучение и пишут проекты самостоятельно. Процедура проведения и получения Грантовой поддержки в виде субсидий отточена годами, понятна и логична. Однако одним из препятствий, которое сокращает число заявок и отстраняет от участия сильные проекты, является справка об отсутствии задолженности по налогам и сборам, а также задолженности в страховые фонды. На уровне Округа и в соседних регионах есть Грантовая поддержка, где допускается задолженность в размере от 1 000 до 10 000 рублей по разным программам, а у нас в городе жесткое требование – отсутствие задолженности. Этот барьер является проблемой не только для соискателей гранта, но также и для работников администрации, которые тратят свое время и силы для того, чтобы принять и обработать заявку, делают запрос по состоянию расчетов на определенную дату в межведомственную систему и вынуждены отказывать при наличии задолженности в размере 1 копейки даже по пене.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 лет наша Компания сотрудничает с Нижневартовским центром занятости населения и другими Центрами занятости Округа в рамках реализации Федеральной программы по субсидированию начинающих предпринимателей и самозанятых. Размер субсидии в настоящий момент составляет 220 000 рублей. Основными нашими заказчиками являются люди, которые не способны самостоятельно грамотно изложить свои идеи и составить проект. Данная программа работает стабильно, все требования понятны и целесообразны.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Особое внимание стоит уделить такой новой Федеральной поддержке, как Социальный Контракт для малоимущих – субсидия на открытие и развитие деятельности до 250 000 рублей, которую можно получить через Управление социальной защиты населения. Программа новая (2021г.), в каждом регионе реализуется по-разному и даже на уровне МО. Мы помогаем предпринимателям и самозанятым привлекать такого рода инвестиции по всей России. На сегодняшний день фактически мы сталкиваемся с человеческим фактором на местах – работники даже в рамках одного постановления по-разному  реализуют процедуру согласования проектов. Проблемы, с которыми сталкиваются начинающие предприниматели и самозанятые, отражены на слайде. 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2021-2022 год с нашей помощью привлечены средства для реализации проектов по программам ЦЗН и УСЗН в размере 15 300 000 рублей (67 проектов)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целом, все формы поддержки, реализуемые в округе и в городе Нижневартовске, работают действительно эффективно. Безусловно, город и округ ждут от реализации поддержки возврат в виде социально-экономических эффектов, которые зачастую бывает сложно выразить в количественных и качественных показателях. Однако за 12 лет работы я вижу, как развиваются проекты, как они выходят за пределы территории города, округа, на рынок всей России. Для примера на слайде представлены проекты, которые когда-то были нашими заказчиками и получали разного рода поддержку от муниципалитета и округа, сейчас они развиваются в том числе и за пределами региона по всей нашей стране.</w:t>
      </w:r>
    </w:p>
    <w:p>
      <w:pPr>
        <w:pStyle w:val="Normal"/>
        <w:spacing w:lineRule="auto" w:line="24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сложившейся экономической ситуации очевидна необходимость разрабатывать в Югре новые формы и программы государственной поддержки. В первую очередь в сферах производства и развития </w:t>
      </w:r>
      <w:r>
        <w:rPr>
          <w:rFonts w:cs="Times New Roman" w:ascii="Times New Roman" w:hAnsi="Times New Roman"/>
          <w:sz w:val="28"/>
          <w:szCs w:val="28"/>
          <w:lang w:val="en-US"/>
        </w:rPr>
        <w:t>IT</w:t>
      </w:r>
      <w:r>
        <w:rPr>
          <w:rFonts w:cs="Times New Roman" w:ascii="Times New Roman" w:hAnsi="Times New Roman"/>
          <w:sz w:val="28"/>
          <w:szCs w:val="28"/>
        </w:rPr>
        <w:t xml:space="preserve"> технологий. Можно изучить опыт регионов, где уже достигнуты высокие показатели государственной поддержки в данных сферах. </w:t>
      </w:r>
    </w:p>
    <w:sectPr>
      <w:type w:val="nextPage"/>
      <w:pgSz w:w="11906" w:h="16838"/>
      <w:pgMar w:left="1701" w:right="567" w:header="0" w:top="862" w:footer="0" w:bottom="72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b14e7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f0a22"/>
    <w:rPr/>
  </w:style>
  <w:style w:type="character" w:styleId="Style16" w:customStyle="1">
    <w:name w:val="Нижний колонтитул Знак"/>
    <w:basedOn w:val="DefaultParagraphFont"/>
    <w:uiPriority w:val="99"/>
    <w:qFormat/>
    <w:rsid w:val="007f0a2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5b14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7f0a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7f0a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8661e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23d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F28E-C86D-410A-AF6B-13CDE8FD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LibreOffice/7.0.6.2$Linux_X86_64 LibreOffice_project/00$Build-2</Application>
  <AppVersion>15.0000</AppVersion>
  <Pages>3</Pages>
  <Words>866</Words>
  <Characters>5734</Characters>
  <CharactersWithSpaces>6581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2022-04-22T06:39:00Z</dcterms:created>
  <dc:creator>Попенко Олег Александрович</dc:creator>
  <dc:description/>
  <dc:language>ru-RU</dc:language>
  <cp:lastModifiedBy/>
  <cp:lastPrinted>2022-04-26T09:18:35Z</cp:lastPrinted>
  <dcterms:modified xsi:type="dcterms:W3CDTF">2022-05-04T10:21:41Z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