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ПОЯСНИТЕЛЬНАЯ ЗАПИСКА</w:t>
      </w:r>
      <w:r/>
    </w:p>
    <w:p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проекту </w:t>
      </w:r>
      <w:r>
        <w:rPr>
          <w:b/>
          <w:sz w:val="28"/>
          <w:szCs w:val="28"/>
        </w:rPr>
        <w:t xml:space="preserve">постановления администрации города </w:t>
      </w:r>
      <w:r/>
    </w:p>
    <w:p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"О внесении изменений в приложение к по</w:t>
      </w:r>
      <w:r>
        <w:rPr>
          <w:b/>
          <w:sz w:val="28"/>
          <w:szCs w:val="28"/>
        </w:rPr>
        <w:t xml:space="preserve">становлению администрации города от 27.02.2019 №122 "Об утверждении административного регламента предоставления муниципальной услуги "Государственная регистрация заявлений о проведении общественной экологической экспертизы" (с изменениями от 31.01.2020 №77</w:t>
      </w:r>
      <w:r>
        <w:rPr>
          <w:b/>
          <w:sz w:val="28"/>
          <w:szCs w:val="28"/>
        </w:rPr>
        <w:t xml:space="preserve">, 29.10.2020 №922</w:t>
      </w:r>
      <w:r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br/>
        <w:t xml:space="preserve">11.05.2021 №368</w:t>
      </w:r>
      <w:r>
        <w:rPr>
          <w:b/>
          <w:sz w:val="28"/>
          <w:szCs w:val="28"/>
        </w:rPr>
        <w:t xml:space="preserve">)</w:t>
      </w:r>
      <w:r/>
    </w:p>
    <w:p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Внесение изменений в действующую редакцию постановления администрации города </w:t>
      </w:r>
      <w:r>
        <w:rPr>
          <w:sz w:val="28"/>
          <w:szCs w:val="28"/>
        </w:rPr>
        <w:t xml:space="preserve">от 27.02.2019 №122 "Об утверждении административного регламента предоставления муниципальной услуги "Государственная регистрация заявлений о проведении общественной экологической экспертизы"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 </w:t>
      </w:r>
      <w:r>
        <w:rPr>
          <w:sz w:val="28"/>
          <w:szCs w:val="28"/>
        </w:rPr>
        <w:t xml:space="preserve">изменениями) </w:t>
      </w:r>
      <w:r>
        <w:rPr>
          <w:sz w:val="28"/>
          <w:szCs w:val="28"/>
        </w:rPr>
        <w:t xml:space="preserve">связано </w:t>
      </w:r>
      <w:r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исключением сведений                        о региональной информационной системе Ханты-Мансийского автономного округа - Югры "Портал государственных и муниципальных услуг (функци</w:t>
      </w:r>
      <w:r>
        <w:rPr>
          <w:sz w:val="28"/>
          <w:szCs w:val="28"/>
        </w:rPr>
        <w:t xml:space="preserve">й) Ханты-Мансийского автономного округа - Югры" согласно постановлению Правительства Ханты-Мансийского автономного округа - Югры от 03.12.2021 №537-п "О внесении изменений в некоторые постановления Правительства Ханты-Мансийского автономного округа - Югры"</w:t>
      </w:r>
      <w:r>
        <w:rPr>
          <w:sz w:val="28"/>
          <w:szCs w:val="28"/>
        </w:rPr>
        <w:t xml:space="preserve">.</w:t>
      </w:r>
      <w:r/>
    </w:p>
    <w:p>
      <w:pPr>
        <w:jc w:val="both"/>
        <w:tabs>
          <w:tab w:val="left" w:pos="709" w:leader="none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В соответствии с пунктом 1.4 </w:t>
      </w:r>
      <w:r>
        <w:rPr>
          <w:sz w:val="28"/>
          <w:szCs w:val="28"/>
        </w:rPr>
        <w:t xml:space="preserve">приложения 1 к </w:t>
      </w:r>
      <w:r>
        <w:rPr>
          <w:sz w:val="28"/>
          <w:szCs w:val="28"/>
        </w:rPr>
        <w:t xml:space="preserve">постановлени</w:t>
      </w:r>
      <w:r>
        <w:rPr>
          <w:sz w:val="28"/>
          <w:szCs w:val="28"/>
        </w:rPr>
        <w:t xml:space="preserve">ю </w:t>
      </w:r>
      <w:r>
        <w:rPr>
          <w:sz w:val="28"/>
          <w:szCs w:val="28"/>
        </w:rPr>
        <w:t xml:space="preserve">администрации города от 29.10.2015 №1935 "Об организации оценки регулирующего воздействия проекто</w:t>
      </w:r>
      <w:r>
        <w:rPr>
          <w:sz w:val="28"/>
          <w:szCs w:val="28"/>
        </w:rPr>
        <w:t xml:space="preserve">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деятельности, в администрации города Нижневартовска"</w:t>
      </w:r>
      <w:r>
        <w:rPr>
          <w:sz w:val="28"/>
          <w:szCs w:val="28"/>
        </w:rPr>
        <w:t xml:space="preserve"> (с изменениями)</w:t>
      </w:r>
      <w:r>
        <w:rPr>
          <w:sz w:val="28"/>
          <w:szCs w:val="28"/>
        </w:rPr>
        <w:t xml:space="preserve"> данный проект муниципального нормативного правового акта не подлежит оценке регулирующего воздействия (ОРВ).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проекте постановления администрации города риски нарушения антимонопольного законодательства отсутствуют.</w:t>
      </w:r>
      <w:r/>
    </w:p>
    <w:p>
      <w:r/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/>
      <w:bookmarkStart w:id="0" w:name="_GoBack"/>
      <w:r/>
      <w:bookmarkEnd w:id="0"/>
      <w:r/>
      <w:r/>
    </w:p>
    <w:p>
      <w:pPr>
        <w:pStyle w:val="600"/>
        <w:jc w:val="both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Начальник управления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/>
    </w:p>
    <w:p>
      <w:pPr>
        <w:pStyle w:val="600"/>
        <w:jc w:val="both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 природопользованию и экологии</w:t>
      </w:r>
      <w:r/>
    </w:p>
    <w:p>
      <w:pPr>
        <w:pStyle w:val="600"/>
        <w:jc w:val="both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города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О.А. Попенко</w:t>
      </w:r>
      <w:r/>
    </w:p>
    <w:sectPr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01"/>
    <w:link w:val="600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9"/>
    <w:next w:val="59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0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9"/>
    <w:next w:val="59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0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9"/>
    <w:next w:val="59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0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9"/>
    <w:next w:val="59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0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9"/>
    <w:next w:val="59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0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9"/>
    <w:next w:val="59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0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9"/>
    <w:next w:val="59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0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9"/>
    <w:next w:val="59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0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59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599"/>
    <w:next w:val="59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01"/>
    <w:link w:val="34"/>
    <w:uiPriority w:val="10"/>
    <w:rPr>
      <w:sz w:val="48"/>
      <w:szCs w:val="48"/>
    </w:rPr>
  </w:style>
  <w:style w:type="paragraph" w:styleId="36">
    <w:name w:val="Subtitle"/>
    <w:basedOn w:val="599"/>
    <w:next w:val="59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01"/>
    <w:link w:val="36"/>
    <w:uiPriority w:val="11"/>
    <w:rPr>
      <w:sz w:val="24"/>
      <w:szCs w:val="24"/>
    </w:rPr>
  </w:style>
  <w:style w:type="paragraph" w:styleId="38">
    <w:name w:val="Quote"/>
    <w:basedOn w:val="599"/>
    <w:next w:val="59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9"/>
    <w:next w:val="59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01"/>
    <w:link w:val="42"/>
    <w:uiPriority w:val="99"/>
  </w:style>
  <w:style w:type="paragraph" w:styleId="44">
    <w:name w:val="Footer"/>
    <w:basedOn w:val="59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01"/>
    <w:link w:val="44"/>
    <w:uiPriority w:val="99"/>
  </w:style>
  <w:style w:type="paragraph" w:styleId="46">
    <w:name w:val="Caption"/>
    <w:basedOn w:val="599"/>
    <w:next w:val="5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0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01"/>
    <w:uiPriority w:val="99"/>
    <w:unhideWhenUsed/>
    <w:rPr>
      <w:vertAlign w:val="superscript"/>
    </w:rPr>
  </w:style>
  <w:style w:type="paragraph" w:styleId="178">
    <w:name w:val="endnote text"/>
    <w:basedOn w:val="59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01"/>
    <w:uiPriority w:val="99"/>
    <w:semiHidden/>
    <w:unhideWhenUsed/>
    <w:rPr>
      <w:vertAlign w:val="superscript"/>
    </w:rPr>
  </w:style>
  <w:style w:type="paragraph" w:styleId="181">
    <w:name w:val="toc 1"/>
    <w:basedOn w:val="599"/>
    <w:next w:val="59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9"/>
    <w:next w:val="59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9"/>
    <w:next w:val="59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9"/>
    <w:next w:val="59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9"/>
    <w:next w:val="59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9"/>
    <w:next w:val="59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9"/>
    <w:next w:val="59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9"/>
    <w:next w:val="59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9"/>
    <w:next w:val="59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9"/>
    <w:next w:val="599"/>
    <w:uiPriority w:val="99"/>
    <w:unhideWhenUsed/>
    <w:pPr>
      <w:spacing w:after="0" w:afterAutospacing="0"/>
    </w:pPr>
  </w:style>
  <w:style w:type="paragraph" w:styleId="599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00">
    <w:name w:val="Heading 1"/>
    <w:basedOn w:val="599"/>
    <w:next w:val="599"/>
    <w:link w:val="604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styleId="601" w:default="1">
    <w:name w:val="Default Paragraph Font"/>
    <w:uiPriority w:val="1"/>
    <w:unhideWhenUsed/>
  </w:style>
  <w:style w:type="table" w:styleId="6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3" w:default="1">
    <w:name w:val="No List"/>
    <w:uiPriority w:val="99"/>
    <w:semiHidden/>
    <w:unhideWhenUsed/>
  </w:style>
  <w:style w:type="character" w:styleId="604" w:customStyle="1">
    <w:name w:val="Заголовок 1 Знак"/>
    <w:basedOn w:val="601"/>
    <w:link w:val="600"/>
    <w:rPr>
      <w:rFonts w:ascii="Arial" w:hAnsi="Arial" w:eastAsia="Times New Roman" w:cs="Arial"/>
      <w:b/>
      <w:bCs/>
      <w:sz w:val="32"/>
      <w:szCs w:val="32"/>
      <w:lang w:eastAsia="ru-RU"/>
    </w:rPr>
  </w:style>
  <w:style w:type="paragraph" w:styleId="605">
    <w:name w:val="Balloon Text"/>
    <w:basedOn w:val="599"/>
    <w:link w:val="606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06" w:customStyle="1">
    <w:name w:val="Текст выноски Знак"/>
    <w:basedOn w:val="601"/>
    <w:link w:val="605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Полатова Елена Леонидовна</dc:creator>
  <cp:revision>18</cp:revision>
  <dcterms:created xsi:type="dcterms:W3CDTF">2019-10-23T08:33:00Z</dcterms:created>
  <dcterms:modified xsi:type="dcterms:W3CDTF">2023-11-10T12:54:54Z</dcterms:modified>
</cp:coreProperties>
</file>