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23.01.2026 №34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right="4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изъятии для муниципальных нужд земельн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жил</w:t>
      </w:r>
      <w:r>
        <w:rPr>
          <w:sz w:val="28"/>
          <w:szCs w:val="28"/>
        </w:rPr>
        <w:t xml:space="preserve">ого и жилых помещений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многоквартирн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признанн</w:t>
      </w:r>
      <w:r>
        <w:rPr>
          <w:sz w:val="28"/>
          <w:szCs w:val="28"/>
        </w:rPr>
        <w:t xml:space="preserve">ом аварийным и подлежащим</w:t>
      </w:r>
      <w:r>
        <w:rPr>
          <w:sz w:val="28"/>
          <w:szCs w:val="28"/>
        </w:rPr>
        <w:t xml:space="preserve"> сносу</w:t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56.6 Земельного кодекса Российской Федерации, </w:t>
      </w:r>
      <w:r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32 Жилищного кодекса Российской Федерации, руководствуясь постановлени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 xml:space="preserve">07.08.2024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660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Обеспечение доступным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и комфортным жилье</w:t>
      </w:r>
      <w:r>
        <w:rPr>
          <w:sz w:val="28"/>
          <w:szCs w:val="28"/>
        </w:rPr>
        <w:t xml:space="preserve">м жителей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05.06.2020 №504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проекта </w:t>
      </w:r>
      <w:r>
        <w:rPr>
          <w:sz w:val="28"/>
          <w:szCs w:val="28"/>
        </w:rPr>
        <w:t xml:space="preserve">планировки территории </w:t>
      </w:r>
      <w:r>
        <w:rPr>
          <w:sz w:val="28"/>
          <w:szCs w:val="28"/>
        </w:rPr>
        <w:t xml:space="preserve">планировочного</w:t>
      </w:r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28.08.2025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770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многоквартирн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Нижневартовска аварийным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подл</w:t>
      </w:r>
      <w:r>
        <w:rPr>
          <w:sz w:val="28"/>
          <w:szCs w:val="28"/>
        </w:rPr>
        <w:t xml:space="preserve">ежащим</w:t>
      </w:r>
      <w:r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основании пис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департамента </w:t>
      </w:r>
      <w:r>
        <w:rPr>
          <w:sz w:val="28"/>
          <w:szCs w:val="28"/>
        </w:rPr>
        <w:t xml:space="preserve">жилищно-коммунального хозяйства </w:t>
      </w:r>
      <w:r>
        <w:rPr>
          <w:sz w:val="28"/>
          <w:szCs w:val="28"/>
        </w:rPr>
        <w:t xml:space="preserve">администрации города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24.11.2025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31-</w:t>
      </w:r>
      <w:r>
        <w:rPr>
          <w:sz w:val="28"/>
          <w:szCs w:val="28"/>
        </w:rPr>
        <w:t xml:space="preserve">Исх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1527</w:t>
      </w:r>
      <w:r>
        <w:rPr>
          <w:sz w:val="28"/>
          <w:szCs w:val="28"/>
        </w:rPr>
        <w:t xml:space="preserve">, от 25.12.2025 №31-Исх-1691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Изъять для муниципальных нужд города Нижневартовска </w:t>
      </w:r>
      <w:r>
        <w:rPr>
          <w:sz w:val="28"/>
          <w:szCs w:val="28"/>
        </w:rPr>
        <w:t xml:space="preserve">земельны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признанн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 аварийным                                      </w:t>
      </w:r>
      <w:r>
        <w:rPr>
          <w:sz w:val="28"/>
          <w:szCs w:val="28"/>
        </w:rPr>
        <w:t xml:space="preserve"> и п</w:t>
      </w:r>
      <w:r>
        <w:rPr>
          <w:sz w:val="28"/>
          <w:szCs w:val="28"/>
        </w:rPr>
        <w:t xml:space="preserve">одлежащим</w:t>
      </w:r>
      <w:r>
        <w:rPr>
          <w:sz w:val="28"/>
          <w:szCs w:val="28"/>
        </w:rPr>
        <w:t xml:space="preserve"> сносу, </w:t>
      </w:r>
      <w:r>
        <w:rPr>
          <w:sz w:val="28"/>
          <w:szCs w:val="28"/>
        </w:rPr>
        <w:t xml:space="preserve">по адрес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: Ханты-Мансийский автономный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Югра,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ород</w:t>
      </w:r>
      <w:r>
        <w:rPr>
          <w:sz w:val="28"/>
          <w:szCs w:val="28"/>
        </w:rPr>
        <w:t xml:space="preserve"> Нижневартовск, переулок Рыбников</w:t>
      </w:r>
      <w:r>
        <w:rPr>
          <w:sz w:val="28"/>
          <w:szCs w:val="28"/>
        </w:rPr>
        <w:t xml:space="preserve">, дом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214</w:t>
      </w:r>
      <w:r>
        <w:rPr>
          <w:sz w:val="28"/>
          <w:szCs w:val="28"/>
        </w:rPr>
        <w:t xml:space="preserve"> кв.м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с кадастровым номером 86:11:050100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835</w:t>
      </w:r>
      <w:r>
        <w:rPr>
          <w:sz w:val="28"/>
          <w:szCs w:val="28"/>
        </w:rPr>
        <w:t xml:space="preserve">, относящийся к категории зе</w:t>
      </w:r>
      <w:r>
        <w:rPr>
          <w:sz w:val="28"/>
          <w:szCs w:val="28"/>
        </w:rPr>
        <w:t xml:space="preserve">мель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земли населенных пунктов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координатах согласно приложению 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Изъять для муниципальных нужд города Нижневартовска находящ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еся в собственности </w:t>
      </w:r>
      <w:r>
        <w:rPr>
          <w:sz w:val="28"/>
          <w:szCs w:val="28"/>
        </w:rPr>
        <w:t xml:space="preserve">граждан</w:t>
      </w:r>
      <w:r>
        <w:rPr>
          <w:sz w:val="28"/>
          <w:szCs w:val="28"/>
        </w:rPr>
        <w:t xml:space="preserve">, юридического 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нежилое</w:t>
      </w:r>
      <w:r>
        <w:t xml:space="preserve"> </w:t>
      </w:r>
      <w:r>
        <w:rPr>
          <w:sz w:val="28"/>
        </w:rPr>
        <w:t xml:space="preserve">и</w:t>
      </w:r>
      <w:r>
        <w:t xml:space="preserve"> </w:t>
      </w:r>
      <w:r>
        <w:rPr>
          <w:sz w:val="28"/>
          <w:szCs w:val="28"/>
        </w:rPr>
        <w:t xml:space="preserve">жилые помещения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многоквартирн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знанн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аварийным и подлежащим</w:t>
      </w:r>
      <w:r>
        <w:rPr>
          <w:sz w:val="28"/>
          <w:szCs w:val="28"/>
        </w:rPr>
        <w:t xml:space="preserve"> сносу, указанн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в пункте 1 настоящего постановления,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гласно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муниципальной собственности и земельных ресурсов администрации города (Н.А. Попович):</w:t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осуществить мероприятия по государственной регистрации настоящего постановления в Управлении Федеральной службы государственной регистрации, кадастра и картографии по Ханты-Мансийскому автономному округу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Югре в десятидневный срок со дня его издания;</w:t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уведомить собственник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нежило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и жилы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письменной форме о принятом решении об изъятии </w:t>
      </w:r>
      <w:r>
        <w:rPr>
          <w:sz w:val="28"/>
          <w:szCs w:val="28"/>
        </w:rPr>
        <w:t xml:space="preserve">нежилого и жилых помещений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многоквартирн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признанн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аварийным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подлежащим</w:t>
      </w:r>
      <w:r>
        <w:rPr>
          <w:sz w:val="28"/>
          <w:szCs w:val="28"/>
        </w:rPr>
        <w:t xml:space="preserve"> сносу, </w:t>
      </w:r>
      <w:r>
        <w:rPr>
          <w:sz w:val="28"/>
          <w:szCs w:val="28"/>
        </w:rPr>
        <w:t xml:space="preserve">в течение десяти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принятия решения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об изъятии;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осуществить мероприятия по определению размера возмещения                     за изымаем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жил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находящ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еся в частной </w:t>
      </w:r>
      <w:r>
        <w:rPr>
          <w:sz w:val="28"/>
          <w:szCs w:val="28"/>
        </w:rPr>
        <w:t xml:space="preserve">собственности,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за изымаемое нежилое помещение, находящееся в собственности юридического лица </w:t>
      </w:r>
      <w:r>
        <w:rPr>
          <w:sz w:val="28"/>
          <w:szCs w:val="28"/>
        </w:rPr>
        <w:t xml:space="preserve">в многоквартирн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признанн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аварийным и подлежащ</w:t>
      </w:r>
      <w:r>
        <w:rPr>
          <w:sz w:val="28"/>
          <w:szCs w:val="28"/>
        </w:rPr>
        <w:t xml:space="preserve">им</w:t>
      </w:r>
      <w:r>
        <w:rPr>
          <w:sz w:val="28"/>
          <w:szCs w:val="28"/>
        </w:rPr>
        <w:t xml:space="preserve"> сносу, согласно 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порядке, предусмотренном законодательством                     об оценочной деятельности;</w:t>
      </w:r>
      <w:r>
        <w:rPr>
          <w:sz w:val="28"/>
          <w:szCs w:val="28"/>
        </w:rPr>
      </w:r>
    </w:p>
    <w:p>
      <w:pPr>
        <w:pStyle w:val="659"/>
        <w:ind w:firstLine="709"/>
        <w:jc w:val="both"/>
      </w:pPr>
      <w:r>
        <w:rPr>
          <w:sz w:val="28"/>
          <w:szCs w:val="28"/>
        </w:rPr>
        <w:t xml:space="preserve">- после получения сведений о размере возмещения за изымаем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нежилое и жилые помещения </w:t>
      </w:r>
      <w:r>
        <w:rPr>
          <w:sz w:val="28"/>
          <w:szCs w:val="28"/>
        </w:rPr>
        <w:t xml:space="preserve">направить собственник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нежило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и жилы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проект соглашения об изъятии недвижимости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порядке и сроки, которые установлены федеральным законодательством;</w:t>
      </w:r>
      <w:r/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в управление по жилищной политике администрации города решение об изъятии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нужд </w:t>
      </w:r>
      <w:r>
        <w:rPr>
          <w:sz w:val="28"/>
          <w:szCs w:val="28"/>
        </w:rPr>
        <w:t xml:space="preserve">земельного участка, </w:t>
      </w:r>
      <w:r>
        <w:rPr>
          <w:sz w:val="28"/>
          <w:szCs w:val="28"/>
        </w:rPr>
        <w:t xml:space="preserve">нежило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жилы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многоквартирном доме, признанном аварийным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и подлежащим сносу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Департаменту общественных коммуникаций и молодежной политики администрации города (В.А. Мыльников) обеспечить опубликование постановления в течение десяти дней со дня его подписания.</w:t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действует в течение трех лет со дня его подписания.</w:t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выполнением постановления возложить на директора департамента муниципальной собственности и земельных ресурсов администрации города Н.А. Попович.</w:t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                                                                                          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tabs>
          <w:tab w:val="left" w:pos="753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670"/>
        <w:tabs>
          <w:tab w:val="left" w:pos="753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329" w:hanging="360"/>
        <w:tabs>
          <w:tab w:val="num" w:pos="232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329" w:hanging="360"/>
        <w:tabs>
          <w:tab w:val="num" w:pos="232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0"/>
      <w:numFmt w:val="bullet"/>
      <w:isLgl w:val="false"/>
      <w:suff w:val="tab"/>
      <w:lvlText w:val="-"/>
      <w:lvlJc w:val="left"/>
      <w:pPr>
        <w:ind w:left="1789" w:hanging="360"/>
        <w:tabs>
          <w:tab w:val="num" w:pos="178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329" w:hanging="360"/>
        <w:tabs>
          <w:tab w:val="num" w:pos="232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329" w:hanging="360"/>
        <w:tabs>
          <w:tab w:val="num" w:pos="232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900" w:hanging="360"/>
        <w:tabs>
          <w:tab w:val="num" w:pos="9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620" w:hanging="360"/>
        <w:tabs>
          <w:tab w:val="num" w:pos="16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40" w:hanging="360"/>
        <w:tabs>
          <w:tab w:val="num" w:pos="23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60" w:hanging="360"/>
        <w:tabs>
          <w:tab w:val="num" w:pos="30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80" w:hanging="360"/>
        <w:tabs>
          <w:tab w:val="num" w:pos="37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500" w:hanging="360"/>
        <w:tabs>
          <w:tab w:val="num" w:pos="45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220" w:hanging="360"/>
        <w:tabs>
          <w:tab w:val="num" w:pos="52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40" w:hanging="360"/>
        <w:tabs>
          <w:tab w:val="num" w:pos="594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4" w:hanging="1185"/>
        <w:tabs>
          <w:tab w:val="num" w:pos="189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329" w:hanging="360"/>
        <w:tabs>
          <w:tab w:val="num" w:pos="232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next w:val="659"/>
    <w:link w:val="659"/>
    <w:qFormat/>
    <w:rPr>
      <w:lang w:val="ru-RU" w:eastAsia="ru-RU" w:bidi="ar-SA"/>
    </w:rPr>
  </w:style>
  <w:style w:type="paragraph" w:styleId="660">
    <w:name w:val="Заголовок 1"/>
    <w:basedOn w:val="659"/>
    <w:next w:val="659"/>
    <w:link w:val="659"/>
    <w:qFormat/>
    <w:pPr>
      <w:ind w:firstLine="340"/>
      <w:jc w:val="center"/>
      <w:keepNext/>
      <w:outlineLvl w:val="0"/>
    </w:pPr>
    <w:rPr>
      <w:rFonts w:ascii="Courier New" w:hAnsi="Courier New"/>
      <w:b/>
      <w:spacing w:val="-20"/>
      <w:sz w:val="36"/>
    </w:rPr>
  </w:style>
  <w:style w:type="paragraph" w:styleId="661">
    <w:name w:val="Заголовок 2"/>
    <w:basedOn w:val="659"/>
    <w:next w:val="659"/>
    <w:link w:val="659"/>
    <w:qFormat/>
    <w:pPr>
      <w:jc w:val="center"/>
      <w:keepNext/>
      <w:outlineLvl w:val="1"/>
    </w:pPr>
    <w:rPr>
      <w:rFonts w:ascii="Courier New" w:hAnsi="Courier New"/>
      <w:b/>
      <w:sz w:val="28"/>
    </w:rPr>
  </w:style>
  <w:style w:type="paragraph" w:styleId="662">
    <w:name w:val="Заголовок 3"/>
    <w:basedOn w:val="659"/>
    <w:next w:val="659"/>
    <w:link w:val="659"/>
    <w:qFormat/>
    <w:pPr>
      <w:jc w:val="center"/>
      <w:keepNext/>
      <w:outlineLvl w:val="2"/>
    </w:pPr>
    <w:rPr>
      <w:rFonts w:ascii="Courier New" w:hAnsi="Courier New"/>
      <w:b/>
      <w:sz w:val="32"/>
    </w:rPr>
  </w:style>
  <w:style w:type="paragraph" w:styleId="663">
    <w:name w:val="Заголовок 4"/>
    <w:basedOn w:val="659"/>
    <w:next w:val="659"/>
    <w:link w:val="659"/>
    <w:qFormat/>
    <w:pPr>
      <w:ind w:firstLine="5670"/>
      <w:keepNext/>
      <w:outlineLvl w:val="3"/>
    </w:pPr>
    <w:rPr>
      <w:rFonts w:ascii="Courier New" w:hAnsi="Courier New"/>
      <w:sz w:val="24"/>
    </w:rPr>
  </w:style>
  <w:style w:type="paragraph" w:styleId="664">
    <w:name w:val="Заголовок 5"/>
    <w:basedOn w:val="659"/>
    <w:next w:val="659"/>
    <w:link w:val="659"/>
    <w:qFormat/>
    <w:pPr>
      <w:jc w:val="both"/>
      <w:keepNext/>
      <w:outlineLvl w:val="4"/>
    </w:pPr>
    <w:rPr>
      <w:rFonts w:ascii="Courier New" w:hAnsi="Courier New"/>
      <w:sz w:val="24"/>
    </w:rPr>
  </w:style>
  <w:style w:type="paragraph" w:styleId="665">
    <w:name w:val="Заголовок 6"/>
    <w:basedOn w:val="659"/>
    <w:next w:val="659"/>
    <w:link w:val="659"/>
    <w:qFormat/>
    <w:pPr>
      <w:jc w:val="center"/>
      <w:keepNext/>
      <w:tabs>
        <w:tab w:val="left" w:pos="5245" w:leader="none"/>
      </w:tabs>
      <w:outlineLvl w:val="5"/>
    </w:pPr>
    <w:rPr>
      <w:b/>
      <w:sz w:val="36"/>
    </w:rPr>
  </w:style>
  <w:style w:type="paragraph" w:styleId="666">
    <w:name w:val="Заголовок 7"/>
    <w:basedOn w:val="659"/>
    <w:next w:val="659"/>
    <w:link w:val="659"/>
    <w:qFormat/>
    <w:pPr>
      <w:ind w:left="-20" w:firstLine="20"/>
      <w:jc w:val="both"/>
      <w:keepNext/>
      <w:tabs>
        <w:tab w:val="left" w:pos="4820" w:leader="none"/>
      </w:tabs>
      <w:outlineLvl w:val="6"/>
    </w:pPr>
    <w:rPr>
      <w:sz w:val="24"/>
    </w:rPr>
  </w:style>
  <w:style w:type="character" w:styleId="667">
    <w:name w:val="Основной шрифт абзаца"/>
    <w:next w:val="667"/>
    <w:link w:val="659"/>
    <w:uiPriority w:val="1"/>
    <w:unhideWhenUsed/>
  </w:style>
  <w:style w:type="table" w:styleId="668">
    <w:name w:val="Обычная таблица"/>
    <w:next w:val="668"/>
    <w:link w:val="659"/>
    <w:uiPriority w:val="99"/>
    <w:semiHidden/>
    <w:unhideWhenUsed/>
    <w:tblPr/>
  </w:style>
  <w:style w:type="numbering" w:styleId="669">
    <w:name w:val="Нет списка"/>
    <w:next w:val="669"/>
    <w:link w:val="659"/>
    <w:uiPriority w:val="99"/>
    <w:semiHidden/>
    <w:unhideWhenUsed/>
  </w:style>
  <w:style w:type="paragraph" w:styleId="670">
    <w:name w:val="Название объекта"/>
    <w:basedOn w:val="659"/>
    <w:next w:val="659"/>
    <w:link w:val="659"/>
    <w:qFormat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671">
    <w:name w:val="Гиперссылка"/>
    <w:next w:val="671"/>
    <w:link w:val="659"/>
    <w:rPr>
      <w:color w:val="0000ff"/>
      <w:u w:val="single"/>
    </w:rPr>
  </w:style>
  <w:style w:type="paragraph" w:styleId="672">
    <w:name w:val="Основной текст с отступом 2"/>
    <w:basedOn w:val="659"/>
    <w:next w:val="672"/>
    <w:link w:val="659"/>
    <w:pPr>
      <w:ind w:firstLine="340"/>
    </w:pPr>
    <w:rPr>
      <w:rFonts w:ascii="Courier New" w:hAnsi="Courier New"/>
      <w:b/>
      <w:spacing w:val="-20"/>
      <w:sz w:val="24"/>
    </w:rPr>
  </w:style>
  <w:style w:type="paragraph" w:styleId="673">
    <w:name w:val="Основной текст с отступом"/>
    <w:basedOn w:val="659"/>
    <w:next w:val="673"/>
    <w:link w:val="684"/>
    <w:pPr>
      <w:ind w:firstLine="851"/>
      <w:jc w:val="both"/>
    </w:pPr>
    <w:rPr>
      <w:rFonts w:ascii="Courier New" w:hAnsi="Courier New"/>
      <w:sz w:val="26"/>
    </w:rPr>
  </w:style>
  <w:style w:type="paragraph" w:styleId="674">
    <w:name w:val="Заголовок"/>
    <w:basedOn w:val="659"/>
    <w:next w:val="674"/>
    <w:link w:val="683"/>
    <w:qFormat/>
    <w:pPr>
      <w:jc w:val="center"/>
    </w:pPr>
    <w:rPr>
      <w:b/>
      <w:bCs/>
      <w:sz w:val="36"/>
      <w:szCs w:val="24"/>
    </w:rPr>
  </w:style>
  <w:style w:type="paragraph" w:styleId="675">
    <w:name w:val="Основной текст с отступом 3"/>
    <w:basedOn w:val="659"/>
    <w:next w:val="675"/>
    <w:link w:val="659"/>
    <w:pPr>
      <w:ind w:left="-20" w:firstLine="729"/>
      <w:jc w:val="both"/>
      <w:tabs>
        <w:tab w:val="left" w:pos="4820" w:leader="none"/>
      </w:tabs>
    </w:pPr>
    <w:rPr>
      <w:sz w:val="24"/>
    </w:rPr>
  </w:style>
  <w:style w:type="paragraph" w:styleId="676">
    <w:name w:val="Подзаголовок"/>
    <w:basedOn w:val="659"/>
    <w:next w:val="676"/>
    <w:link w:val="659"/>
    <w:qFormat/>
    <w:pPr>
      <w:jc w:val="center"/>
    </w:pPr>
    <w:rPr>
      <w:sz w:val="36"/>
    </w:rPr>
  </w:style>
  <w:style w:type="paragraph" w:styleId="677">
    <w:name w:val="Текст выноски"/>
    <w:basedOn w:val="659"/>
    <w:next w:val="677"/>
    <w:link w:val="659"/>
    <w:semiHidden/>
    <w:rPr>
      <w:rFonts w:ascii="Tahoma" w:hAnsi="Tahoma" w:cs="Tahoma"/>
      <w:sz w:val="16"/>
      <w:szCs w:val="16"/>
    </w:rPr>
  </w:style>
  <w:style w:type="table" w:styleId="678">
    <w:name w:val="Сетка таблицы"/>
    <w:basedOn w:val="668"/>
    <w:next w:val="678"/>
    <w:link w:val="659"/>
    <w:tblPr/>
  </w:style>
  <w:style w:type="paragraph" w:styleId="679">
    <w:name w:val="Верхний колонтитул"/>
    <w:basedOn w:val="659"/>
    <w:next w:val="679"/>
    <w:link w:val="680"/>
    <w:uiPriority w:val="99"/>
    <w:pPr>
      <w:tabs>
        <w:tab w:val="center" w:pos="4677" w:leader="none"/>
        <w:tab w:val="right" w:pos="9355" w:leader="none"/>
      </w:tabs>
    </w:pPr>
  </w:style>
  <w:style w:type="character" w:styleId="680">
    <w:name w:val="Верхний колонтитул Знак"/>
    <w:basedOn w:val="667"/>
    <w:next w:val="680"/>
    <w:link w:val="679"/>
    <w:uiPriority w:val="99"/>
  </w:style>
  <w:style w:type="paragraph" w:styleId="681">
    <w:name w:val="Нижний колонтитул"/>
    <w:basedOn w:val="659"/>
    <w:next w:val="681"/>
    <w:link w:val="682"/>
    <w:pPr>
      <w:tabs>
        <w:tab w:val="center" w:pos="4677" w:leader="none"/>
        <w:tab w:val="right" w:pos="9355" w:leader="none"/>
      </w:tabs>
    </w:pPr>
  </w:style>
  <w:style w:type="character" w:styleId="682">
    <w:name w:val="Нижний колонтитул Знак"/>
    <w:basedOn w:val="667"/>
    <w:next w:val="682"/>
    <w:link w:val="681"/>
  </w:style>
  <w:style w:type="character" w:styleId="683">
    <w:name w:val="Заголовок Знак"/>
    <w:next w:val="683"/>
    <w:link w:val="674"/>
    <w:rPr>
      <w:b/>
      <w:bCs/>
      <w:sz w:val="36"/>
      <w:szCs w:val="24"/>
    </w:rPr>
  </w:style>
  <w:style w:type="character" w:styleId="684">
    <w:name w:val="Основной текст с отступом Знак"/>
    <w:next w:val="684"/>
    <w:link w:val="673"/>
    <w:rPr>
      <w:rFonts w:ascii="Courier New" w:hAnsi="Courier New"/>
      <w:sz w:val="26"/>
    </w:rPr>
  </w:style>
  <w:style w:type="paragraph" w:styleId="685">
    <w:name w:val="Default"/>
    <w:next w:val="685"/>
    <w:link w:val="659"/>
    <w:rPr>
      <w:color w:val="000000"/>
      <w:sz w:val="24"/>
      <w:szCs w:val="24"/>
      <w:lang w:val="ru-RU" w:eastAsia="ru-RU" w:bidi="ar-SA"/>
    </w:rPr>
  </w:style>
  <w:style w:type="character" w:styleId="686">
    <w:name w:val="Другое_"/>
    <w:next w:val="686"/>
    <w:link w:val="687"/>
    <w:rPr>
      <w:rFonts w:ascii="Calibri" w:hAnsi="Calibri" w:eastAsia="Calibri" w:cs="Calibri"/>
      <w:sz w:val="22"/>
      <w:szCs w:val="22"/>
    </w:rPr>
  </w:style>
  <w:style w:type="paragraph" w:styleId="687">
    <w:name w:val="Другое"/>
    <w:basedOn w:val="659"/>
    <w:next w:val="687"/>
    <w:link w:val="686"/>
    <w:pPr>
      <w:jc w:val="center"/>
      <w:widowControl w:val="off"/>
    </w:pPr>
    <w:rPr>
      <w:rFonts w:ascii="Calibri" w:hAnsi="Calibri" w:eastAsia="Calibri" w:cs="Calibri"/>
      <w:sz w:val="22"/>
      <w:szCs w:val="22"/>
    </w:rPr>
  </w:style>
  <w:style w:type="character" w:styleId="2504" w:default="1">
    <w:name w:val="Default Paragraph Font"/>
    <w:uiPriority w:val="1"/>
    <w:semiHidden/>
    <w:unhideWhenUsed/>
  </w:style>
  <w:style w:type="numbering" w:styleId="2505" w:default="1">
    <w:name w:val="No List"/>
    <w:uiPriority w:val="99"/>
    <w:semiHidden/>
    <w:unhideWhenUsed/>
  </w:style>
  <w:style w:type="table" w:styleId="25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Комитет по управлению имущест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butenkobi</cp:lastModifiedBy>
  <cp:revision>14</cp:revision>
  <dcterms:created xsi:type="dcterms:W3CDTF">2026-01-22T11:28:00Z</dcterms:created>
  <dcterms:modified xsi:type="dcterms:W3CDTF">2026-01-27T12:21:11Z</dcterms:modified>
  <cp:version>1048576</cp:version>
</cp:coreProperties>
</file>