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>
        <w:tblPrEx/>
        <w:trPr/>
        <w:tc>
          <w:tcPr>
            <w:tcW w:w="4927" w:type="dxa"/>
            <w:textDirection w:val="lrTb"/>
            <w:noWrap/>
          </w:tcPr>
          <w:p>
            <w:pPr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О внесении изменен</w:t>
            </w:r>
            <w:r>
              <w:rPr>
                <w:bCs/>
                <w:color w:val="000000" w:themeColor="text1"/>
                <w:highlight w:val="white"/>
              </w:rPr>
              <w:t xml:space="preserve">ий</w:t>
            </w:r>
            <w:r>
              <w:rPr>
                <w:bCs/>
                <w:color w:val="000000" w:themeColor="text1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highlight w:val="white"/>
              </w:rPr>
              <w:t xml:space="preserve">в приложение</w:t>
            </w:r>
            <w:r>
              <w:rPr>
                <w:bCs/>
                <w:color w:val="000000" w:themeColor="text1"/>
                <w:highlight w:val="white"/>
              </w:rPr>
              <w:t xml:space="preserve"> </w:t>
            </w:r>
            <w:r>
              <w:rPr>
                <w:bCs/>
                <w:color w:val="000000" w:themeColor="text1"/>
                <w:highlight w:val="white"/>
              </w:rPr>
              <w:br/>
              <w:t xml:space="preserve">к постановлению администрации города от </w:t>
            </w:r>
            <w:r>
              <w:rPr>
                <w:color w:val="000000" w:themeColor="text1"/>
                <w:highlight w:val="white"/>
              </w:rPr>
              <w:t xml:space="preserve">23.07.2015 №1378 "Об утверждении муниципальной программы "Оздоровление экологической обстановки </w:t>
            </w:r>
            <w:r>
              <w:rPr>
                <w:color w:val="000000" w:themeColor="text1"/>
                <w:highlight w:val="white"/>
              </w:rPr>
              <w:t xml:space="preserve">в городе Нижневартовске" (с изменениями от 24.02.2016 №226, 29.03.2016 №418, 13.01.2017 №26, 24</w:t>
            </w:r>
            <w:r>
              <w:rPr>
                <w:color w:val="000000" w:themeColor="text1"/>
                <w:highlight w:val="white"/>
              </w:rPr>
              <w:t xml:space="preserve">.03.2017 №448, 26.12.2017 №1933, 30.03.2018 №439, 31.08.2018 №1187, 21.12.2018 №1465, 30.05.2019 №412, 12.03.2020 №201, 05.10.2020 №863, 26.02.2021 №156, 23.06.2021 №505, 14.12.2021 №979, 20.01.2022 №18, 28.02.2022 №110, 28.02.2023 №168, 14.</w:t>
            </w:r>
            <w:r>
              <w:rPr>
                <w:color w:val="000000" w:themeColor="text1"/>
              </w:rPr>
              <w:t xml:space="preserve">12.2023 №1098, </w:t>
            </w:r>
            <w:r>
              <w:rPr>
                <w:color w:val="000000" w:themeColor="text1"/>
              </w:rPr>
              <w:t xml:space="preserve">29.02.2024 №157</w:t>
            </w:r>
            <w:r>
              <w:rPr>
                <w:color w:val="000000" w:themeColor="text1"/>
              </w:rPr>
              <w:t xml:space="preserve">)</w:t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  <w:tc>
          <w:tcPr>
            <w:tcW w:w="4927" w:type="dxa"/>
            <w:textDirection w:val="lrTb"/>
            <w:noWrap/>
          </w:tcPr>
          <w:p>
            <w:pPr>
              <w:ind w:right="5386"/>
              <w:jc w:val="both"/>
              <w:tabs>
                <w:tab w:val="left" w:pos="4536" w:leader="none"/>
              </w:tabs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  <w:r>
              <w:rPr>
                <w:bCs/>
                <w:color w:val="000000" w:themeColor="text1"/>
              </w:rPr>
            </w:r>
          </w:p>
        </w:tc>
      </w:tr>
    </w:tbl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целях приведения муниципальной программы "Оздоровление экологической обстановки в городе Нижневартовске" в соответствие </w:t>
      </w:r>
      <w:r>
        <w:rPr>
          <w:color w:val="000000" w:themeColor="text1"/>
          <w:sz w:val="28"/>
          <w:szCs w:val="28"/>
        </w:rPr>
        <w:br/>
        <w:t xml:space="preserve">с бюджетом города Нижневартовска на </w:t>
      </w:r>
      <w:r>
        <w:rPr>
          <w:color w:val="000000" w:themeColor="text1"/>
          <w:sz w:val="28"/>
          <w:szCs w:val="28"/>
        </w:rPr>
        <w:t xml:space="preserve">2024</w:t>
      </w:r>
      <w:r>
        <w:rPr>
          <w:color w:val="000000" w:themeColor="text1"/>
          <w:sz w:val="28"/>
          <w:szCs w:val="28"/>
        </w:rPr>
        <w:t xml:space="preserve"> год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Внести изменен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Cs/>
          <w:color w:val="000000" w:themeColor="text1"/>
          <w:sz w:val="28"/>
          <w:szCs w:val="28"/>
          <w:highlight w:val="white"/>
        </w:rPr>
        <w:t xml:space="preserve">в приложение</w:t>
      </w:r>
      <w:r>
        <w:rPr>
          <w:bCs/>
          <w:color w:val="000000" w:themeColor="text1"/>
          <w:sz w:val="28"/>
          <w:szCs w:val="28"/>
          <w:highlight w:val="white"/>
        </w:rPr>
        <w:t xml:space="preserve"> к постановлению</w:t>
      </w:r>
      <w:r>
        <w:rPr>
          <w:color w:val="000000" w:themeColor="text1"/>
          <w:sz w:val="28"/>
          <w:szCs w:val="28"/>
          <w:highlight w:val="white"/>
        </w:rPr>
        <w:t xml:space="preserve"> ад</w:t>
      </w:r>
      <w:r>
        <w:rPr>
          <w:color w:val="000000" w:themeColor="text1"/>
          <w:sz w:val="28"/>
          <w:szCs w:val="28"/>
          <w:highlight w:val="white"/>
        </w:rPr>
        <w:t xml:space="preserve">министрации города от 23.07.2015 №1378</w:t>
      </w:r>
      <w:r>
        <w:rPr>
          <w:color w:val="000000" w:themeColor="text1"/>
          <w:sz w:val="28"/>
          <w:szCs w:val="28"/>
        </w:rPr>
        <w:t xml:space="preserve"> "Об утверждении муниципальной программы "Оздоровление экологической обстановки в городе Нижневартовске" </w:t>
      </w:r>
      <w:r>
        <w:rPr>
          <w:color w:val="000000" w:themeColor="text1"/>
          <w:sz w:val="28"/>
          <w:szCs w:val="28"/>
        </w:rPr>
        <w:br/>
        <w:t xml:space="preserve">(с изменениями от 24.02.2016 №226, 29.03.2016 №418</w:t>
      </w:r>
      <w:r>
        <w:rPr>
          <w:color w:val="000000" w:themeColor="text1"/>
          <w:sz w:val="28"/>
          <w:szCs w:val="28"/>
        </w:rPr>
        <w:t xml:space="preserve">, 13.01.2017 №26, 24.03.2017 №448, 26.12.2017 №1933, 30.03.2018 №439, 31.08.2018 №1187, 21.12.2018 №1465, 30.05.2019 №412, 12.03.2020 №201, 05.10.2020 №863, 26.02.2021 №156, 23.06.2021 №505,14.12.2021 №979, 20.01.2022 №18, 28.02.2022 №110, </w:t>
      </w:r>
      <w:r>
        <w:rPr>
          <w:color w:val="000000" w:themeColor="text1"/>
          <w:sz w:val="28"/>
          <w:szCs w:val="28"/>
          <w:highlight w:val="white"/>
        </w:rPr>
        <w:t xml:space="preserve">28.02.2023 №168,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14.12.2023 №1098,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29.02.2024 №157</w:t>
      </w:r>
      <w:r>
        <w:rPr>
          <w:color w:val="000000" w:themeColor="text1"/>
          <w:sz w:val="28"/>
          <w:szCs w:val="28"/>
        </w:rPr>
        <w:t xml:space="preserve">):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1.1. В Паспорте муниципальной программы: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пункты </w:t>
      </w:r>
      <w:r>
        <w:rPr>
          <w:color w:val="000000" w:themeColor="text1"/>
          <w:sz w:val="28"/>
          <w:szCs w:val="28"/>
        </w:rPr>
        <w:t xml:space="preserve">1</w:t>
      </w:r>
      <w:r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8, </w:t>
      </w:r>
      <w:r>
        <w:rPr>
          <w:color w:val="000000" w:themeColor="text1"/>
          <w:sz w:val="28"/>
          <w:szCs w:val="28"/>
        </w:rPr>
        <w:t xml:space="preserve">12</w:t>
      </w:r>
      <w:r>
        <w:rPr>
          <w:color w:val="000000" w:themeColor="text1"/>
          <w:sz w:val="28"/>
          <w:szCs w:val="28"/>
        </w:rPr>
        <w:t xml:space="preserve">, 14</w:t>
      </w:r>
      <w:r>
        <w:rPr>
          <w:color w:val="000000" w:themeColor="text1"/>
          <w:sz w:val="28"/>
          <w:szCs w:val="28"/>
        </w:rPr>
        <w:t xml:space="preserve"> строки "Целевые показатели муниципальной программы" изложить в новой редакции согласно приложению 1 к настоящему постановлению;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-</w:t>
      </w:r>
      <w:r>
        <w:rPr>
          <w:rFonts w:eastAsia="Calibri"/>
          <w:color w:val="000000" w:themeColor="text1"/>
          <w:sz w:val="28"/>
          <w:szCs w:val="28"/>
        </w:rPr>
        <w:t xml:space="preserve"> </w:t>
      </w:r>
      <w:r>
        <w:rPr>
          <w:rFonts w:eastAsia="Calibri"/>
          <w:color w:val="000000" w:themeColor="text1"/>
          <w:sz w:val="28"/>
          <w:szCs w:val="28"/>
        </w:rPr>
        <w:t xml:space="preserve">с</w:t>
      </w:r>
      <w:r>
        <w:rPr>
          <w:rFonts w:eastAsia="Calibri"/>
          <w:color w:val="000000" w:themeColor="text1"/>
          <w:sz w:val="28"/>
          <w:szCs w:val="28"/>
        </w:rPr>
        <w:t xml:space="preserve">трок</w:t>
      </w:r>
      <w:r>
        <w:rPr>
          <w:rFonts w:eastAsia="Calibri"/>
          <w:color w:val="000000" w:themeColor="text1"/>
          <w:sz w:val="28"/>
          <w:szCs w:val="28"/>
        </w:rPr>
        <w:t xml:space="preserve">и</w:t>
      </w:r>
      <w:r>
        <w:rPr>
          <w:rFonts w:eastAsia="Calibri"/>
          <w:color w:val="000000" w:themeColor="text1"/>
          <w:sz w:val="28"/>
          <w:szCs w:val="28"/>
        </w:rPr>
        <w:t xml:space="preserve"> "Параметры финансового обеспечения муниципальной программы" "</w:t>
      </w:r>
      <w:r>
        <w:rPr>
          <w:color w:val="000000" w:themeColor="text1"/>
          <w:sz w:val="28"/>
          <w:szCs w:val="28"/>
        </w:rPr>
        <w:t xml:space="preserve">Параметры финансового обеспечения портфелей проектов (проектов) города, направленных в том числе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реализацию национальных, федеральных и региональных проектов Российской Федерации</w:t>
      </w:r>
      <w:r>
        <w:rPr>
          <w:rFonts w:eastAsia="Calibri"/>
          <w:color w:val="000000" w:themeColor="text1"/>
          <w:sz w:val="28"/>
          <w:szCs w:val="28"/>
        </w:rPr>
        <w:t xml:space="preserve">" изложить </w:t>
      </w:r>
      <w:r>
        <w:rPr>
          <w:rFonts w:eastAsia="Calibri"/>
          <w:color w:val="000000" w:themeColor="text1"/>
          <w:sz w:val="28"/>
          <w:szCs w:val="28"/>
        </w:rPr>
        <w:br/>
      </w:r>
      <w:r>
        <w:rPr>
          <w:rFonts w:eastAsia="Calibri"/>
          <w:color w:val="000000" w:themeColor="text1"/>
          <w:sz w:val="28"/>
          <w:szCs w:val="28"/>
        </w:rPr>
        <w:t xml:space="preserve">в новой редакции согласно приложен</w:t>
      </w:r>
      <w:r>
        <w:rPr>
          <w:rFonts w:eastAsia="Calibri"/>
          <w:color w:val="000000" w:themeColor="text1"/>
          <w:sz w:val="28"/>
          <w:szCs w:val="28"/>
        </w:rPr>
        <w:t xml:space="preserve">ию </w:t>
      </w:r>
      <w:r>
        <w:rPr>
          <w:rFonts w:eastAsia="Calibri"/>
          <w:color w:val="000000" w:themeColor="text1"/>
          <w:sz w:val="28"/>
          <w:szCs w:val="28"/>
        </w:rPr>
        <w:t xml:space="preserve">2</w:t>
      </w:r>
      <w:r>
        <w:rPr>
          <w:rFonts w:eastAsia="Calibri"/>
          <w:color w:val="000000" w:themeColor="text1"/>
          <w:sz w:val="28"/>
          <w:szCs w:val="28"/>
        </w:rPr>
        <w:t xml:space="preserve"> к настоящему постановлению.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1.2. Таблицы 1, 2 изложить в новой редакции согласно </w:t>
      </w:r>
      <w:hyperlink r:id="rId12" w:tooltip="consultantplus://offline/ref=DBB753914FFF3C03988D2A046A4718EA8C55D8D6304999ABC784218CFE62D256C618C5B574120B9E7448E799478E47C12D835AC5DDF8B1D396FE8A1FYEf5F" w:history="1">
        <w:r>
          <w:rPr>
            <w:rStyle w:val="939"/>
            <w:color w:val="000000" w:themeColor="text1"/>
            <w:sz w:val="28"/>
            <w:szCs w:val="28"/>
            <w:u w:val="none"/>
          </w:rPr>
          <w:t xml:space="preserve">приложени</w:t>
        </w:r>
        <w:r>
          <w:rPr>
            <w:rStyle w:val="939"/>
            <w:color w:val="000000" w:themeColor="text1"/>
            <w:sz w:val="28"/>
            <w:szCs w:val="28"/>
            <w:u w:val="none"/>
          </w:rPr>
          <w:t xml:space="preserve">ю</w:t>
        </w:r>
      </w:hyperlink>
      <w:r>
        <w:rPr>
          <w:rStyle w:val="939"/>
          <w:color w:val="000000" w:themeColor="text1"/>
          <w:sz w:val="28"/>
          <w:szCs w:val="28"/>
          <w:u w:val="none"/>
        </w:rPr>
        <w:t xml:space="preserve"> </w:t>
      </w: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br/>
        <w:t xml:space="preserve">к настоящему постановлению.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widowControl w:val="o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Постановление вступает в силу после его официального опубликования.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</w:t>
      </w:r>
      <w:bookmarkStart w:id="0" w:name="Par35"/>
      <w:r>
        <w:rPr>
          <w:color w:val="000000" w:themeColor="text1"/>
        </w:rPr>
      </w:r>
      <w:bookmarkEnd w:id="0"/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    Д.А. Кощенко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34" w:left="1701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1 к постановлению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jc w:val="both"/>
        <w:rPr>
          <w:rFonts w:eastAsia="Calibri"/>
          <w:color w:val="000000" w:themeColor="text1"/>
          <w:sz w:val="28"/>
          <w:szCs w:val="20"/>
        </w:rPr>
      </w:pP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jc w:val="both"/>
        <w:rPr>
          <w:rFonts w:eastAsia="Calibri"/>
          <w:color w:val="000000" w:themeColor="text1"/>
          <w:sz w:val="28"/>
          <w:szCs w:val="20"/>
        </w:rPr>
      </w:pP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tbl>
      <w:tblPr>
        <w:tblW w:w="1460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351"/>
        <w:gridCol w:w="3866"/>
        <w:gridCol w:w="880"/>
        <w:gridCol w:w="880"/>
        <w:gridCol w:w="880"/>
        <w:gridCol w:w="878"/>
        <w:gridCol w:w="880"/>
        <w:gridCol w:w="880"/>
        <w:gridCol w:w="880"/>
        <w:gridCol w:w="878"/>
        <w:gridCol w:w="880"/>
        <w:gridCol w:w="1056"/>
        <w:gridCol w:w="1419"/>
      </w:tblGrid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66" w:type="dxa"/>
            <w:textDirection w:val="lrTb"/>
            <w:noWrap/>
          </w:tcPr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Площадь территории города, на которой ликвидировано захламление (га)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42,34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2,29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4,1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9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5,02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1056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30,12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1419" w:type="dxa"/>
            <w:textDirection w:val="lrTb"/>
            <w:noWrap/>
          </w:tcPr>
          <w:p>
            <w:pPr>
              <w:ind w:left="-108" w:right="-108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103,0</w:t>
            </w: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8.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66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Количество мест (площадок) накопления твердых коммунальных отходов, соответствующих требованиям санитарно-эпидемиологического </w:t>
              <w:br/>
              <w:t xml:space="preserve">и экологического законодательства (ед.)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15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37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056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25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12.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66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vertAlign w:val="superscript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Количество высаженных деревьев и кустарников (ед.)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12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7 742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351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790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5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600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9" w:type="dxa"/>
            <w:textDirection w:val="lrTb"/>
            <w:noWrap/>
          </w:tcPr>
          <w:p>
            <w:pPr>
              <w:ind w:left="-108" w:right="-108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10 083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14.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3866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Уровень удовлетворенности населения качеством благоустройства и содержания лесного комплекса "Ягом" (%)</w:t>
            </w:r>
            <w:r>
              <w:rPr>
                <w:color w:val="000000" w:themeColor="text1"/>
                <w:sz w:val="16"/>
                <w:szCs w:val="16"/>
                <w:vertAlign w:val="superscript"/>
              </w:rPr>
              <w:t xml:space="preserve">14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highlight w:val="none"/>
              </w:rPr>
              <w:t xml:space="preserve">80</w:t>
            </w:r>
            <w:r>
              <w:rPr>
                <w:strike/>
                <w:color w:val="000000" w:themeColor="text1"/>
                <w:sz w:val="16"/>
                <w:szCs w:val="16"/>
              </w:rPr>
            </w:r>
            <w:r>
              <w:rPr>
                <w:strike/>
                <w:color w:val="000000" w:themeColor="text1"/>
                <w:sz w:val="16"/>
                <w:szCs w:val="16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72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78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78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88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056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419" w:type="dxa"/>
            <w:textDirection w:val="lrTb"/>
            <w:noWrap/>
          </w:tcPr>
          <w:p>
            <w:pPr>
              <w:ind w:left="-108" w:right="-108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80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ind w:firstLine="10660"/>
        <w:rPr>
          <w:color w:val="000000" w:themeColor="text1"/>
          <w:sz w:val="28"/>
          <w:szCs w:val="28"/>
        </w:rPr>
      </w:pPr>
      <w:r>
        <w:rPr>
          <w:strike/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 к постановлению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________________ №_______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rPr>
          <w:strike/>
          <w:color w:val="000000" w:themeColor="text1"/>
          <w:sz w:val="28"/>
          <w:szCs w:val="28"/>
        </w:rPr>
      </w:pP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p>
      <w:pPr>
        <w:rPr>
          <w:strike/>
          <w:color w:val="000000" w:themeColor="text1"/>
          <w:sz w:val="28"/>
          <w:szCs w:val="28"/>
        </w:rPr>
      </w:pP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  <w:r>
        <w:rPr>
          <w:strike/>
          <w:color w:val="000000" w:themeColor="text1"/>
          <w:sz w:val="28"/>
          <w:szCs w:val="28"/>
        </w:rPr>
      </w:r>
    </w:p>
    <w:tbl>
      <w:tblPr>
        <w:tblW w:w="14608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6"/>
        <w:gridCol w:w="1703"/>
        <w:gridCol w:w="993"/>
        <w:gridCol w:w="992"/>
        <w:gridCol w:w="992"/>
        <w:gridCol w:w="992"/>
        <w:gridCol w:w="992"/>
        <w:gridCol w:w="994"/>
        <w:gridCol w:w="992"/>
        <w:gridCol w:w="992"/>
        <w:gridCol w:w="993"/>
        <w:gridCol w:w="1137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Параметры финансового обеспечения муниципальной программы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Источники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10"/>
            <w:tcMar>
              <w:left w:w="62" w:type="dxa"/>
              <w:top w:w="0" w:type="dxa"/>
              <w:right w:w="62" w:type="dxa"/>
              <w:bottom w:w="0" w:type="dxa"/>
            </w:tcMar>
            <w:tcW w:w="1006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Расходы по годам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(тыс. рублей)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2031-2036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годы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</w:rPr>
              <w:t xml:space="preserve">1 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123 337,82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399 581,30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133 294,46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58 551,93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58 551,93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4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284 014,92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Федеральный бюджет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45 816,00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32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Бюджет автономного округа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</w:rPr>
              <w:t xml:space="preserve">57 095,00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56 264,10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277,00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277,00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4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0,00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89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Бюджет города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</w:rPr>
              <w:t xml:space="preserve">1 014 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839,78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295 109,20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</w:rPr>
              <w:t xml:space="preserve">129 822,52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58 274,93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58 274,93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4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284 014,92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6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3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vMerge w:val="restart"/>
            <w:textDirection w:val="lrTb"/>
            <w:noWrap/>
          </w:tcPr>
          <w:p>
            <w:pPr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5 5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none"/>
                <w:lang w:eastAsia="en-US"/>
              </w:rPr>
              <w:t xml:space="preserve">87,04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2 392,00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3 </w:t>
            </w:r>
            <w:r>
              <w:rPr>
                <w:b w:val="0"/>
                <w:bCs w:val="0"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195,04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3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1137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  <w:r>
        <w:rPr>
          <w:color w:val="000000" w:themeColor="text1"/>
          <w:highlight w:val="white"/>
        </w:rPr>
      </w:r>
    </w:p>
    <w:tbl>
      <w:tblPr>
        <w:tblW w:w="1460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701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1137"/>
      </w:tblGrid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Параметры финансового обеспечения портфелей проектов (проектов) города, направленных в том числе на реализацию национальных, федеральных и региональных проектов Российской Федерации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Источники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gridSpan w:val="10"/>
            <w:tcMar>
              <w:left w:w="62" w:type="dxa"/>
              <w:top w:w="0" w:type="dxa"/>
              <w:right w:w="62" w:type="dxa"/>
              <w:bottom w:w="0" w:type="dxa"/>
            </w:tcMar>
            <w:tcW w:w="10065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Расходы по годам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(тыс. рублей)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2023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2024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2025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2027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2028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2029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2031-2036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годы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26 625,47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15 026,27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11 599,20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continue"/>
            <w:textDirection w:val="lrTb"/>
            <w:noWrap/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Бюджет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21 074,87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12 634,27</w:t>
            </w: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8 440,60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2835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701" w:type="dxa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5 550,60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jc w:val="center"/>
              <w:rPr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2 392,00</w:t>
            </w: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3 158,60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992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bottom w:val="single" w:color="000000" w:sz="4" w:space="0"/>
            </w:tcBorders>
            <w:tcW w:w="1137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color w:val="000000" w:themeColor="text1"/>
        </w:rPr>
      </w:pPr>
      <w:r>
        <w:rPr>
          <w:strike/>
          <w:color w:val="000000" w:themeColor="text1"/>
          <w:sz w:val="28"/>
          <w:szCs w:val="28"/>
        </w:rPr>
        <w:br w:type="page" w:clear="all"/>
      </w:r>
      <w:r>
        <w:rPr>
          <w:color w:val="000000" w:themeColor="text1"/>
          <w:sz w:val="28"/>
          <w:szCs w:val="28"/>
        </w:rPr>
        <w:t xml:space="preserve">Приложение </w:t>
      </w:r>
      <w:r>
        <w:rPr>
          <w:color w:val="000000" w:themeColor="text1"/>
          <w:sz w:val="28"/>
          <w:szCs w:val="28"/>
        </w:rPr>
        <w:t xml:space="preserve">3</w:t>
      </w:r>
      <w:r>
        <w:rPr>
          <w:color w:val="000000" w:themeColor="text1"/>
          <w:sz w:val="28"/>
          <w:szCs w:val="28"/>
        </w:rPr>
        <w:t xml:space="preserve"> к постановлению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ind w:firstLine="1066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администрации города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10660"/>
        <w:rPr>
          <w:rFonts w:eastAsia="Calibri"/>
          <w:color w:val="000000" w:themeColor="text1"/>
          <w:sz w:val="28"/>
          <w:szCs w:val="20"/>
        </w:rPr>
      </w:pPr>
      <w:r>
        <w:rPr>
          <w:color w:val="000000" w:themeColor="text1"/>
          <w:sz w:val="28"/>
          <w:szCs w:val="28"/>
        </w:rPr>
        <w:t xml:space="preserve">от _______________ №________</w:t>
      </w:r>
      <w:r>
        <w:rPr>
          <w:rFonts w:eastAsia="Calibri"/>
          <w:color w:val="000000" w:themeColor="text1"/>
          <w:sz w:val="28"/>
          <w:szCs w:val="20"/>
        </w:rPr>
      </w:r>
      <w:r>
        <w:rPr>
          <w:rFonts w:eastAsia="Calibri"/>
          <w:color w:val="000000" w:themeColor="text1"/>
          <w:sz w:val="28"/>
          <w:szCs w:val="20"/>
        </w:rPr>
      </w:r>
    </w:p>
    <w:p>
      <w:pPr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 xml:space="preserve">Таблица 1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  <w:t xml:space="preserve">Распределение финансовых ресурсов муниципальной программы</w:t>
      </w: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</w:p>
    <w:tbl>
      <w:tblPr>
        <w:tblW w:w="14601" w:type="dxa"/>
        <w:tblInd w:w="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85" w:type="dxa"/>
          <w:right w:w="62" w:type="dxa"/>
          <w:bottom w:w="85" w:type="dxa"/>
        </w:tblCellMar>
        <w:tblLook w:val="04A0" w:firstRow="1" w:lastRow="0" w:firstColumn="1" w:lastColumn="0" w:noHBand="0" w:noVBand="1"/>
      </w:tblPr>
      <w:tblGrid>
        <w:gridCol w:w="282"/>
        <w:gridCol w:w="1984"/>
        <w:gridCol w:w="1984"/>
        <w:gridCol w:w="1419"/>
        <w:gridCol w:w="1133"/>
        <w:gridCol w:w="850"/>
        <w:gridCol w:w="852"/>
        <w:gridCol w:w="850"/>
        <w:gridCol w:w="852"/>
        <w:gridCol w:w="851"/>
        <w:gridCol w:w="850"/>
        <w:gridCol w:w="851"/>
        <w:gridCol w:w="850"/>
        <w:gridCol w:w="993"/>
      </w:tblGrid>
      <w:tr>
        <w:tblPrEx/>
        <w:trPr>
          <w:trHeight w:val="454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п/п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Структурные элементы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(основные мероприятия)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муниципальной программы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(их связь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с целевыми показателями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муниципальной программы)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Ответственный исполнитель/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соисполнители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муниципальной программы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Источники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финансирования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gridSpan w:val="10"/>
            <w:tcMar>
              <w:left w:w="62" w:type="dxa"/>
              <w:top w:w="0" w:type="dxa"/>
              <w:right w:w="62" w:type="dxa"/>
              <w:bottom w:w="0" w:type="dxa"/>
            </w:tcMar>
            <w:tcW w:w="893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Финансовые затраты на реализацию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(тыс. рублей)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83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gridSpan w:val="9"/>
            <w:tcMar>
              <w:left w:w="62" w:type="dxa"/>
              <w:top w:w="0" w:type="dxa"/>
              <w:right w:w="62" w:type="dxa"/>
              <w:bottom w:w="0" w:type="dxa"/>
            </w:tcMar>
            <w:tcW w:w="7799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 том числе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39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2023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2025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2027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2028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2029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2031-2036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годы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27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14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27"/>
        </w:trPr>
        <w:tc>
          <w:tcPr>
            <w:gridSpan w:val="14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Цель: обеспечение устойчивой безопасной экологической обстановки и сохранение благоприятной окружающей среды в городе Нижневартовске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gridSpan w:val="14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Задача 1. Обеспечение снижения негативного воздействия хозяйственной и иной деятельности на окружающую среду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1.1.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Основное мероприятие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</w:t>
            </w: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Обеспечение соблюдения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требований законодательства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в области охраны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окружающей среды,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в том числе в сфере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обращения с отходами"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(показатели 1, 2, 7)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природопользованию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экологии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города/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департамент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жилищно-коммунального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хозяйства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дорожному хозяйству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благоустройству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казенное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материально-технического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обеспечения деятельности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органов местного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самоуправления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199 194,67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12 004,29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24 318,08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444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автономного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округа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1 097,00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266,10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277,00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277,00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198 097,67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11 738,19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24 041,18</w:t>
            </w:r>
            <w:r>
              <w:rPr>
                <w:bCs/>
                <w:color w:val="000000" w:themeColor="text1"/>
                <w:sz w:val="14"/>
                <w:szCs w:val="14"/>
              </w:rPr>
            </w:r>
            <w:r>
              <w:rPr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Cs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14 455,85</w:t>
            </w:r>
            <w:r>
              <w:rPr>
                <w:bCs/>
                <w:color w:val="000000" w:themeColor="text1"/>
                <w:sz w:val="14"/>
                <w:szCs w:val="14"/>
              </w:rPr>
            </w:r>
            <w:r>
              <w:rPr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14 455,85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1.2.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Региональный проект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"Чистая страна"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ar-SA"/>
              </w:rPr>
              <w:t xml:space="preserve">(показатели 9-11)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природопользованию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экологии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373 250,94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337 443,51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35 807,43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федеральный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автономного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округа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55 998,00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right="-113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55 998,00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right="-113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  <w:lang w:eastAsia="ar-SA"/>
              </w:rPr>
            </w:pP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  <w:r>
              <w:rPr>
                <w:sz w:val="14"/>
                <w:szCs w:val="14"/>
                <w:lang w:eastAsia="ar-SA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ind w:left="-113" w:right="-113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271 436,94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235 629,51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35 807,43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142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Итого по задаче 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всего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572 445,6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349 447,80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60 125,5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14 732,85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федеральный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45 816,00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489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автономного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округа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57 095,00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right="-113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56 264,10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right="-113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277,00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277,00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469 534,6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247 367,70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59 848,6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14 455,85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14 455,85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13 340,66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80 043,96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112"/>
        </w:trPr>
        <w:tc>
          <w:tcPr>
            <w:gridSpan w:val="14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Задача2. Экологическое просвещение населения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4022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2.1.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Основное мероприятие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"Организация и проведение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массовых экологических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мероприятий,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информирования населения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вопросам охраны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окружающей среды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природопользования"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lang w:eastAsia="ar-SA"/>
              </w:rPr>
              <w:t xml:space="preserve">показатель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5)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природопользованию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и экологии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города/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департамент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по социальной политике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администрации города;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"Дворец искусств";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"Дворец культуры "Октябрь";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"Центр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национальных культур";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казенное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материально-технического 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обеспечения деятельности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органов местного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самоуправления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24 360,79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1 183,13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1 308,16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strike/>
                <w:color w:val="000000" w:themeColor="text1"/>
                <w:sz w:val="14"/>
                <w:szCs w:val="14"/>
              </w:rPr>
            </w:r>
            <w:r>
              <w:rPr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11 218,32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13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/>
          </w:tcPr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Итого по задаче 2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24 360,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79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1 183,13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jc w:val="center"/>
              <w:rPr>
                <w:b/>
                <w:bCs/>
                <w:strike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1 308,16</w:t>
            </w:r>
            <w:r>
              <w:rPr>
                <w:b/>
                <w:bCs/>
                <w:strike/>
                <w:color w:val="000000" w:themeColor="text1"/>
              </w:rPr>
            </w:r>
            <w:r>
              <w:rPr>
                <w:b/>
                <w:bCs/>
                <w:strike/>
                <w:color w:val="000000" w:themeColor="text1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1 586,15</w:t>
            </w:r>
            <w:r>
              <w:rPr>
                <w:b/>
                <w:bCs/>
                <w:color w:val="000000" w:themeColor="text1"/>
              </w:rPr>
            </w:r>
            <w:r>
              <w:rPr>
                <w:b/>
                <w:bCs/>
                <w:color w:val="000000" w:themeColor="text1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1 586,15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1 869,72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11 218,32</w:t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20"/>
        </w:trPr>
        <w:tc>
          <w:tcPr>
            <w:gridSpan w:val="14"/>
            <w:tcMar>
              <w:left w:w="62" w:type="dxa"/>
              <w:top w:w="0" w:type="dxa"/>
              <w:right w:w="62" w:type="dxa"/>
              <w:bottom w:w="0" w:type="dxa"/>
            </w:tcMar>
            <w:tcW w:w="14601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Задача 3. Обеспечение деятельности муниципального учреждения,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outlineLvl w:val="2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направленной на рациональное использование, сохранение и восстановление природных ресурсов и соблюдение требований в сфере обращения с отходами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</w:tr>
      <w:tr>
        <w:tblPrEx/>
        <w:trPr>
          <w:trHeight w:val="50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3.1.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"Создание условий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для обеспечения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эффективной деятельности 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муниципального учреждения"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(показатели 2-6, 8, 12-14)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муниципальное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бюджетное учреждение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"Управление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лесопаркового хозяйства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города Нижневартовска"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526 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531,42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48 950,37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71 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860,79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</w:rPr>
            </w:pPr>
            <w:r>
              <w:rPr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color w:val="000000" w:themeColor="text1"/>
                <w:sz w:val="14"/>
                <w:szCs w:val="14"/>
              </w:rPr>
            </w:r>
            <w:r>
              <w:rPr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520 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944,38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46 558,37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68 </w:t>
            </w:r>
            <w:r>
              <w:rPr>
                <w:color w:val="000000" w:themeColor="text1"/>
                <w:sz w:val="14"/>
                <w:szCs w:val="14"/>
                <w:highlight w:val="none"/>
              </w:rPr>
              <w:t xml:space="preserve">665,75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5 5</w:t>
            </w:r>
            <w:r>
              <w:rPr>
                <w:color w:val="000000" w:themeColor="text1"/>
                <w:sz w:val="14"/>
                <w:szCs w:val="14"/>
                <w:highlight w:val="none"/>
                <w:lang w:eastAsia="en-US"/>
              </w:rPr>
              <w:t xml:space="preserve">87,04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2 392,00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3 </w:t>
            </w:r>
            <w:r>
              <w:rPr>
                <w:color w:val="000000" w:themeColor="text1"/>
                <w:sz w:val="14"/>
                <w:szCs w:val="14"/>
                <w:highlight w:val="none"/>
                <w:lang w:eastAsia="en-US"/>
              </w:rPr>
              <w:t xml:space="preserve">195,04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Итого по задаче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всего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526 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531,42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48 950,37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71 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860,79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520 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944,38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46 558,37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68 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665,75</w:t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42 232,93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32 125,44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192 752,64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иные источники финансирования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5 5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  <w:lang w:eastAsia="en-US"/>
              </w:rPr>
              <w:t xml:space="preserve">87,04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2 392,00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3 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  <w:lang w:eastAsia="en-US"/>
              </w:rPr>
              <w:t xml:space="preserve">195,04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  <w:t xml:space="preserve">Всего по муниципальной программе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restar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всего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1 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123 337,82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399 581,30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</w:rPr>
              <w:t xml:space="preserve">133 294,46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58 551,93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58 551,93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284 014,92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федеральный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45 816,00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бюджет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автономного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  <w:t xml:space="preserve">округа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57 095,00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56 264,10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276,90</w:t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277,00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277,00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0,00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161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 xml:space="preserve">бюджет города</w:t>
            </w:r>
            <w:r>
              <w:rPr>
                <w:b/>
                <w:color w:val="000000" w:themeColor="text1"/>
                <w:sz w:val="14"/>
                <w:szCs w:val="14"/>
              </w:rPr>
            </w:r>
            <w:r>
              <w:rPr>
                <w:b/>
                <w:color w:val="000000" w:themeColor="text1"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1 014 </w:t>
            </w: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839,78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295 109,20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none"/>
              </w:rPr>
              <w:t xml:space="preserve">129 822,52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58 274,93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58 274,93</w:t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47 335,82</w:t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strike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  <w:t xml:space="preserve">284 014,92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</w:tr>
      <w:tr>
        <w:tblPrEx/>
        <w:trPr>
          <w:trHeight w:val="20"/>
        </w:trPr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282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984" w:type="dxa"/>
            <w:vMerge w:val="continue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9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4"/>
                <w:szCs w:val="14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</w:rPr>
              <w:t xml:space="preserve">иные источники финансирования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  <w:r>
              <w:rPr>
                <w:b/>
                <w:color w:val="000000" w:themeColor="text1"/>
                <w:sz w:val="14"/>
                <w:szCs w:val="14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3" w:type="dxa"/>
            <w:textDirection w:val="lrTb"/>
            <w:noWrap/>
          </w:tcPr>
          <w:p>
            <w:pPr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5 5</w:t>
            </w:r>
            <w:r>
              <w:rPr>
                <w:b/>
                <w:bCs/>
                <w:color w:val="000000" w:themeColor="text1"/>
                <w:sz w:val="14"/>
                <w:szCs w:val="14"/>
                <w:highlight w:val="none"/>
                <w:lang w:eastAsia="en-US"/>
              </w:rPr>
              <w:t xml:space="preserve">87,04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jc w:val="center"/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2 392,00</w:t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3 </w:t>
            </w:r>
            <w:r>
              <w:rPr>
                <w:b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195,04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2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1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850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993" w:type="dxa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4"/>
                <w:szCs w:val="14"/>
                <w:highlight w:val="white"/>
                <w:lang w:eastAsia="en-US"/>
              </w:rPr>
              <w:t xml:space="preserve">0,00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</w:tr>
    </w:tbl>
    <w:p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Примечание: средства федерального бюджета и бюджета автономного округа поступают в рамках государственной </w:t>
      </w:r>
      <w:hyperlink r:id="rId13" w:tooltip="https://login.consultant.ru/link/?req=doc&amp;base=RLAW926&amp;n=238526&amp;dst=102845&amp;field=134&amp;date=29.09.2021" w:history="1">
        <w:r>
          <w:rPr>
            <w:color w:val="000000" w:themeColor="text1"/>
          </w:rPr>
          <w:t xml:space="preserve">программы</w:t>
        </w:r>
      </w:hyperlink>
      <w:r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Ханты-Мансийского автономного округа - Югры "Экологическая безопасность".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righ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br w:type="page" w:clear="all"/>
      </w:r>
      <w:r>
        <w:rPr>
          <w:rFonts w:eastAsia="Calibri"/>
          <w:color w:val="000000" w:themeColor="text1"/>
          <w:sz w:val="28"/>
          <w:szCs w:val="28"/>
        </w:rPr>
        <w:t xml:space="preserve">Таблица 2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jc w:val="center"/>
        <w:rPr>
          <w:rFonts w:eastAsia="Calibri"/>
          <w:b/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  <w:r>
        <w:rPr>
          <w:rFonts w:eastAsia="Calibri"/>
          <w:b/>
          <w:color w:val="000000" w:themeColor="text1"/>
          <w:sz w:val="28"/>
          <w:szCs w:val="28"/>
        </w:rPr>
      </w:r>
    </w:p>
    <w:p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Мероприятия,</w:t>
      </w: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p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реализуемые на принципах проектного управления,</w:t>
      </w: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p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направленны</w:t>
      </w:r>
      <w:r>
        <w:rPr>
          <w:b/>
          <w:color w:val="000000" w:themeColor="text1"/>
          <w:sz w:val="28"/>
        </w:rPr>
        <w:t xml:space="preserve">е в том числе на достижение национальных целей развития Российской Федерации</w:t>
      </w: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p>
      <w:pPr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</w:r>
    </w:p>
    <w:tbl>
      <w:tblPr>
        <w:tblW w:w="4972" w:type="pct"/>
        <w:tblInd w:w="5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2"/>
        <w:gridCol w:w="53"/>
        <w:gridCol w:w="3566"/>
        <w:gridCol w:w="1416"/>
        <w:gridCol w:w="993"/>
        <w:gridCol w:w="990"/>
        <w:gridCol w:w="853"/>
        <w:gridCol w:w="990"/>
        <w:gridCol w:w="853"/>
        <w:gridCol w:w="856"/>
        <w:gridCol w:w="990"/>
        <w:gridCol w:w="993"/>
        <w:gridCol w:w="850"/>
        <w:gridCol w:w="847"/>
      </w:tblGrid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" w:type="pct"/>
            <w:vMerge w:val="restart"/>
            <w:textDirection w:val="lrTb"/>
            <w:noWrap/>
          </w:tcPr>
          <w:p>
            <w:pPr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№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п/п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pct"/>
            <w:vMerge w:val="restart"/>
            <w:textDirection w:val="lrTb"/>
            <w:noWrap/>
          </w:tcPr>
          <w:p>
            <w:pPr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Наименование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проекта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57" w:right="-57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или мероприятия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Источники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финансирования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5" w:type="pct"/>
            <w:textDirection w:val="lrTb"/>
            <w:noWrap/>
          </w:tcPr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Параметры финансового обеспечения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(тыс. рублей) 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" w:type="pct"/>
            <w:vMerge w:val="continue"/>
            <w:textDirection w:val="lrTb"/>
            <w:noWrap/>
          </w:tcPr>
          <w:p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pct"/>
            <w:vMerge w:val="continue"/>
            <w:textDirection w:val="lrTb"/>
            <w:noWrap/>
          </w:tcPr>
          <w:p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vMerge w:val="continue"/>
            <w:textDirection w:val="lrTb"/>
            <w:noWrap/>
          </w:tcPr>
          <w:p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vMerge w:val="restart"/>
            <w:textDirection w:val="lrTb"/>
            <w:noWrap/>
          </w:tcPr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15" w:type="pct"/>
            <w:textDirection w:val="lrTb"/>
            <w:noWrap/>
          </w:tcPr>
          <w:p>
            <w:pPr>
              <w:ind w:left="-113" w:right="-113"/>
              <w:jc w:val="center"/>
              <w:rPr>
                <w:rFonts w:eastAsia="Calibri"/>
                <w:b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b/>
                <w:color w:val="000000" w:themeColor="text1"/>
                <w:sz w:val="16"/>
                <w:szCs w:val="16"/>
                <w:lang w:eastAsia="en-US"/>
              </w:rPr>
              <w:t xml:space="preserve">в том числе</w:t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" w:type="pct"/>
            <w:vMerge w:val="continue"/>
            <w:textDirection w:val="lrTb"/>
            <w:noWrap/>
          </w:tcPr>
          <w:p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pct"/>
            <w:vMerge w:val="continue"/>
            <w:textDirection w:val="lrTb"/>
            <w:noWrap/>
          </w:tcPr>
          <w:p>
            <w:pPr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vMerge w:val="continue"/>
            <w:textDirection w:val="lrTb"/>
            <w:noWrap/>
          </w:tcPr>
          <w:p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vMerge w:val="continue"/>
            <w:textDirection w:val="lrTb"/>
            <w:noWrap/>
          </w:tcPr>
          <w:p>
            <w:pPr>
              <w:ind w:left="-113" w:right="-113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  <w:r>
              <w:rPr>
                <w:rFonts w:eastAsia="Calibri"/>
                <w:b/>
                <w:sz w:val="16"/>
                <w:szCs w:val="1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2023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2024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2025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2026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2027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2028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2029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2030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год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290" w:type="pct"/>
            <w:textDirection w:val="lrTb"/>
            <w:noWrap/>
          </w:tcPr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2031-2036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</w:p>
          <w:p>
            <w:pPr>
              <w:pStyle w:val="971"/>
              <w:ind w:left="-113" w:right="-113" w:firstLine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годы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1" w:type="pct"/>
            <w:textDirection w:val="lrTb"/>
            <w:noWrap/>
          </w:tcPr>
          <w:p>
            <w:pPr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39" w:type="pct"/>
            <w:textDirection w:val="lrTb"/>
            <w:noWrap/>
          </w:tcPr>
          <w:p>
            <w:pPr>
              <w:ind w:left="-57" w:right="-57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2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3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4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5</w:t>
            </w: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6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7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8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9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11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12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13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gridSpan w:val="14"/>
            <w:tcBorders>
              <w:left w:val="single" w:color="000000" w:sz="4" w:space="0"/>
              <w:right w:val="single" w:color="000000" w:sz="4" w:space="0"/>
            </w:tcBorders>
            <w:tcW w:w="500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 xml:space="preserve">Раздел II. Портфели проектов (проекты) города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restar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1.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restart"/>
            <w:textDirection w:val="lrTb"/>
            <w:noWrap/>
          </w:tcPr>
          <w:p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3.1. Проект "Обустройство экотропы в квартале 35 городских лесов города Нижневартовска" (показатель 4), срок реализации: 01.2021 -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12.2024</w:t>
            </w: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  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26 625,47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15 026,27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11 </w:t>
            </w: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599,20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бюджет города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21 074,87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12 634,27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8 440,60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5 550,60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2 392,00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3 158,60</w:t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ind w:left="-113" w:right="-113"/>
              <w:jc w:val="center"/>
              <w:rPr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184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restart"/>
            <w:textDirection w:val="lrTb"/>
            <w:noWrap/>
          </w:tcPr>
          <w:p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ИТОГО по разделу </w:t>
            </w:r>
            <w:r>
              <w:rPr>
                <w:b/>
                <w:color w:val="000000" w:themeColor="text1"/>
                <w:sz w:val="16"/>
                <w:szCs w:val="16"/>
                <w:lang w:val="en-US" w:eastAsia="en-US"/>
              </w:rPr>
              <w:t xml:space="preserve">II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26 625,47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15 026,27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11 599,20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бюджет города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21 074,87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12 634,27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8 440,60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310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right="-113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иные источники финансирования</w:t>
            </w:r>
            <w:r>
              <w:rPr>
                <w:color w:val="000000" w:themeColor="text1"/>
                <w:sz w:val="16"/>
                <w:szCs w:val="16"/>
              </w:rPr>
            </w:r>
            <w:r>
              <w:rPr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5 550,60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2 392,00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3 158,60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8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restart"/>
            <w:textDirection w:val="lrTb"/>
            <w:noWrap/>
          </w:tcPr>
          <w:p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  <w:p>
            <w:pPr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всего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26 625,47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15 026,27</w:t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11 599,20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бюджет города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21 074,87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12 634,27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8 440,60</w:t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  <w:tr>
        <w:tblPrEx/>
        <w:trPr>
          <w:trHeight w:val="276"/>
        </w:trPr>
        <w:tc>
          <w:tcPr>
            <w:gridSpan w:val="2"/>
            <w:tcBorders>
              <w:left w:val="single" w:color="000000" w:sz="4" w:space="0"/>
              <w:right w:val="single" w:color="000000" w:sz="4" w:space="0"/>
            </w:tcBorders>
            <w:tcW w:w="139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left w:val="single" w:color="000000" w:sz="4" w:space="0"/>
              <w:right w:val="single" w:color="000000" w:sz="4" w:space="0"/>
            </w:tcBorders>
            <w:tcW w:w="1221" w:type="pct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85" w:type="pct"/>
            <w:textDirection w:val="lrTb"/>
            <w:noWrap/>
          </w:tcPr>
          <w:p>
            <w:pPr>
              <w:ind w:right="-113"/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lang w:eastAsia="en-US"/>
              </w:rPr>
              <w:t xml:space="preserve">иные источники финансирования</w:t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</w:rPr>
            </w:r>
          </w:p>
        </w:tc>
        <w:tc>
          <w:tcPr>
            <w:tcW w:w="340" w:type="pct"/>
            <w:textDirection w:val="lrTb"/>
            <w:noWrap/>
          </w:tcPr>
          <w:p>
            <w:pPr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5 550,60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W w:w="339" w:type="pct"/>
            <w:textDirection w:val="lrTb"/>
            <w:noWrap/>
          </w:tcPr>
          <w:p>
            <w:pPr>
              <w:jc w:val="center"/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2 392,00</w:t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bCs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b/>
                <w:color w:val="000000" w:themeColor="text1"/>
                <w:sz w:val="16"/>
                <w:szCs w:val="16"/>
                <w:highlight w:val="white"/>
                <w:lang w:eastAsia="en-US"/>
              </w:rPr>
              <w:t xml:space="preserve">3 158,60</w:t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b/>
                <w:strike/>
                <w:color w:val="000000" w:themeColor="text1"/>
                <w:sz w:val="16"/>
                <w:szCs w:val="16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2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3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9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4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1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0" w:type="pct"/>
            <w:textDirection w:val="lrTb"/>
            <w:noWrap/>
          </w:tcPr>
          <w:p>
            <w:pPr>
              <w:ind w:left="-113" w:right="-113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>
              <w:rPr>
                <w:b/>
                <w:color w:val="000000" w:themeColor="text1"/>
                <w:sz w:val="16"/>
                <w:szCs w:val="16"/>
                <w:lang w:eastAsia="en-US"/>
              </w:rPr>
              <w:t xml:space="preserve">0,00</w:t>
            </w:r>
            <w:r>
              <w:rPr>
                <w:b/>
                <w:color w:val="000000" w:themeColor="text1"/>
                <w:sz w:val="16"/>
                <w:szCs w:val="16"/>
              </w:rPr>
            </w:r>
            <w:r>
              <w:rPr>
                <w:b/>
                <w:color w:val="000000" w:themeColor="text1"/>
                <w:sz w:val="16"/>
                <w:szCs w:val="16"/>
              </w:rPr>
            </w:r>
          </w:p>
        </w:tc>
      </w:tr>
    </w:tbl>
    <w:p>
      <w:pPr>
        <w:jc w:val="both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jc w:val="center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sectPr>
      <w:headerReference w:type="default" r:id="rId10"/>
      <w:footerReference w:type="default" r:id="rId11"/>
      <w:footnotePr/>
      <w:endnotePr/>
      <w:type w:val="nextPage"/>
      <w:pgSz w:w="16838" w:h="11906" w:orient="landscape"/>
      <w:pgMar w:top="1701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Cambria">
    <w:panose1 w:val="02040503050406030204"/>
  </w:font>
  <w:font w:name="Times New Roman">
    <w:panose1 w:val="020206030504050203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PAGE   \* MERGEFORMAT</w:instrText>
    </w:r>
    <w:r>
      <w:rPr>
        <w:szCs w:val="24"/>
      </w:rPr>
      <w:fldChar w:fldCharType="separate"/>
    </w:r>
    <w:r>
      <w:rPr>
        <w:szCs w:val="24"/>
      </w:rPr>
      <w:t xml:space="preserve">2</w:t>
    </w:r>
    <w:r>
      <w:rPr>
        <w:szCs w:val="24"/>
      </w:rPr>
      <w:fldChar w:fldCharType="end"/>
    </w:r>
    <w:r>
      <w:rPr>
        <w:szCs w:val="24"/>
      </w:rPr>
    </w:r>
    <w:r>
      <w:rPr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6"/>
      <w:jc w:val="center"/>
    </w:pPr>
    <w:fldSimple w:instr="PAGE \* MERGEFORMAT">
      <w:r>
        <w:t xml:space="preserve">1</w:t>
      </w:r>
    </w:fldSimple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72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24" w:hanging="1224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6249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660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32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804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76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48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1020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92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64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439" w:hanging="1170"/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86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5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-12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-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18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90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162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234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306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3785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4">
    <w:multiLevelType w:val="hybridMultilevel"/>
    <w:lvl w:ilvl="0">
      <w:start w:val="2004"/>
      <w:numFmt w:val="bullet"/>
      <w:isLgl w:val="false"/>
      <w:suff w:val="tab"/>
      <w:lvlText w:val="-"/>
      <w:lvlJc w:val="left"/>
      <w:pPr>
        <w:ind w:left="397" w:hanging="397"/>
        <w:tabs>
          <w:tab w:val="num" w:pos="397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4" w:hanging="504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"/>
  </w:num>
  <w:num w:numId="3">
    <w:abstractNumId w:val="14"/>
  </w:num>
  <w:num w:numId="4">
    <w:abstractNumId w:val="24"/>
  </w:num>
  <w:num w:numId="5">
    <w:abstractNumId w:val="28"/>
  </w:num>
  <w:num w:numId="6">
    <w:abstractNumId w:val="23"/>
  </w:num>
  <w:num w:numId="7">
    <w:abstractNumId w:val="33"/>
  </w:num>
  <w:num w:numId="8">
    <w:abstractNumId w:val="17"/>
  </w:num>
  <w:num w:numId="9">
    <w:abstractNumId w:val="13"/>
  </w:num>
  <w:num w:numId="10">
    <w:abstractNumId w:val="31"/>
  </w:num>
  <w:num w:numId="11">
    <w:abstractNumId w:val="20"/>
  </w:num>
  <w:num w:numId="12">
    <w:abstractNumId w:val="29"/>
  </w:num>
  <w:num w:numId="13">
    <w:abstractNumId w:val="36"/>
  </w:num>
  <w:num w:numId="14">
    <w:abstractNumId w:val="6"/>
  </w:num>
  <w:num w:numId="15">
    <w:abstractNumId w:val="26"/>
  </w:num>
  <w:num w:numId="16">
    <w:abstractNumId w:val="15"/>
  </w:num>
  <w:num w:numId="17">
    <w:abstractNumId w:val="22"/>
  </w:num>
  <w:num w:numId="18">
    <w:abstractNumId w:val="35"/>
  </w:num>
  <w:num w:numId="19">
    <w:abstractNumId w:val="7"/>
  </w:num>
  <w:num w:numId="20">
    <w:abstractNumId w:val="8"/>
  </w:num>
  <w:num w:numId="21">
    <w:abstractNumId w:val="4"/>
  </w:num>
  <w:num w:numId="22">
    <w:abstractNumId w:val="37"/>
  </w:num>
  <w:num w:numId="23">
    <w:abstractNumId w:val="10"/>
  </w:num>
  <w:num w:numId="24">
    <w:abstractNumId w:val="16"/>
  </w:num>
  <w:num w:numId="25">
    <w:abstractNumId w:val="12"/>
  </w:num>
  <w:num w:numId="26">
    <w:abstractNumId w:val="21"/>
  </w:num>
  <w:num w:numId="27">
    <w:abstractNumId w:val="0"/>
  </w:num>
  <w:num w:numId="28">
    <w:abstractNumId w:val="2"/>
  </w:num>
  <w:num w:numId="29">
    <w:abstractNumId w:val="3"/>
  </w:num>
  <w:num w:numId="30">
    <w:abstractNumId w:val="38"/>
  </w:num>
  <w:num w:numId="31">
    <w:abstractNumId w:val="5"/>
  </w:num>
  <w:num w:numId="32">
    <w:abstractNumId w:val="9"/>
  </w:num>
  <w:num w:numId="33">
    <w:abstractNumId w:val="34"/>
  </w:num>
  <w:num w:numId="34">
    <w:abstractNumId w:val="25"/>
  </w:num>
  <w:num w:numId="35">
    <w:abstractNumId w:val="32"/>
  </w:num>
  <w:num w:numId="36">
    <w:abstractNumId w:val="19"/>
  </w:num>
  <w:num w:numId="37">
    <w:abstractNumId w:val="18"/>
  </w:num>
  <w:num w:numId="38">
    <w:abstractNumId w:val="2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70">
    <w:name w:val="Title Char"/>
    <w:basedOn w:val="776"/>
    <w:link w:val="799"/>
    <w:uiPriority w:val="10"/>
    <w:rPr>
      <w:sz w:val="48"/>
      <w:szCs w:val="48"/>
    </w:rPr>
  </w:style>
  <w:style w:type="character" w:styleId="771">
    <w:name w:val="Subtitle Char"/>
    <w:basedOn w:val="776"/>
    <w:link w:val="801"/>
    <w:uiPriority w:val="11"/>
    <w:rPr>
      <w:sz w:val="24"/>
      <w:szCs w:val="24"/>
    </w:rPr>
  </w:style>
  <w:style w:type="character" w:styleId="772">
    <w:name w:val="Quote Char"/>
    <w:link w:val="803"/>
    <w:uiPriority w:val="29"/>
    <w:rPr>
      <w:i/>
    </w:rPr>
  </w:style>
  <w:style w:type="character" w:styleId="773">
    <w:name w:val="Intense Quote Char"/>
    <w:link w:val="805"/>
    <w:uiPriority w:val="30"/>
    <w:rPr>
      <w:i/>
    </w:rPr>
  </w:style>
  <w:style w:type="paragraph" w:styleId="774" w:default="1">
    <w:name w:val="Normal"/>
    <w:qFormat/>
    <w:rPr>
      <w:rFonts w:ascii="Times New Roman" w:hAnsi="Times New Roman" w:eastAsia="Times New Roman"/>
      <w:sz w:val="24"/>
      <w:szCs w:val="24"/>
      <w:lang w:eastAsia="ru-RU"/>
    </w:rPr>
  </w:style>
  <w:style w:type="paragraph" w:styleId="775">
    <w:name w:val="Heading 3"/>
    <w:basedOn w:val="774"/>
    <w:next w:val="774"/>
    <w:link w:val="958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styleId="776" w:default="1">
    <w:name w:val="Default Paragraph Font"/>
    <w:uiPriority w:val="1"/>
    <w:semiHidden/>
    <w:unhideWhenUsed/>
  </w:style>
  <w:style w:type="table" w:styleId="77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78" w:default="1">
    <w:name w:val="No List"/>
    <w:uiPriority w:val="99"/>
    <w:semiHidden/>
    <w:unhideWhenUsed/>
  </w:style>
  <w:style w:type="paragraph" w:styleId="779" w:customStyle="1">
    <w:name w:val="Heading 1"/>
    <w:basedOn w:val="774"/>
    <w:next w:val="774"/>
    <w:link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80" w:customStyle="1">
    <w:name w:val="Heading 1 Char"/>
    <w:link w:val="779"/>
    <w:uiPriority w:val="9"/>
    <w:rPr>
      <w:rFonts w:ascii="Arial" w:hAnsi="Arial" w:eastAsia="Arial" w:cs="Arial"/>
      <w:sz w:val="40"/>
      <w:szCs w:val="40"/>
    </w:rPr>
  </w:style>
  <w:style w:type="paragraph" w:styleId="781" w:customStyle="1">
    <w:name w:val="Heading 2"/>
    <w:basedOn w:val="774"/>
    <w:next w:val="774"/>
    <w:link w:val="78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82" w:customStyle="1">
    <w:name w:val="Heading 2 Char"/>
    <w:link w:val="781"/>
    <w:uiPriority w:val="9"/>
    <w:rPr>
      <w:rFonts w:ascii="Arial" w:hAnsi="Arial" w:eastAsia="Arial" w:cs="Arial"/>
      <w:sz w:val="34"/>
    </w:rPr>
  </w:style>
  <w:style w:type="paragraph" w:styleId="783" w:customStyle="1">
    <w:name w:val="Heading 3"/>
    <w:basedOn w:val="774"/>
    <w:next w:val="774"/>
    <w:link w:val="78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84" w:customStyle="1">
    <w:name w:val="Heading 3 Char"/>
    <w:link w:val="783"/>
    <w:uiPriority w:val="9"/>
    <w:rPr>
      <w:rFonts w:ascii="Arial" w:hAnsi="Arial" w:eastAsia="Arial" w:cs="Arial"/>
      <w:sz w:val="30"/>
      <w:szCs w:val="30"/>
    </w:rPr>
  </w:style>
  <w:style w:type="paragraph" w:styleId="785" w:customStyle="1">
    <w:name w:val="Heading 4"/>
    <w:basedOn w:val="774"/>
    <w:next w:val="774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86" w:customStyle="1">
    <w:name w:val="Heading 4 Char"/>
    <w:link w:val="785"/>
    <w:uiPriority w:val="9"/>
    <w:rPr>
      <w:rFonts w:ascii="Arial" w:hAnsi="Arial" w:eastAsia="Arial" w:cs="Arial"/>
      <w:b/>
      <w:bCs/>
      <w:sz w:val="26"/>
      <w:szCs w:val="26"/>
    </w:rPr>
  </w:style>
  <w:style w:type="paragraph" w:styleId="787" w:customStyle="1">
    <w:name w:val="Heading 5"/>
    <w:basedOn w:val="774"/>
    <w:next w:val="774"/>
    <w:link w:val="78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788" w:customStyle="1">
    <w:name w:val="Heading 5 Char"/>
    <w:link w:val="787"/>
    <w:uiPriority w:val="9"/>
    <w:rPr>
      <w:rFonts w:ascii="Arial" w:hAnsi="Arial" w:eastAsia="Arial" w:cs="Arial"/>
      <w:b/>
      <w:bCs/>
      <w:sz w:val="24"/>
      <w:szCs w:val="24"/>
    </w:rPr>
  </w:style>
  <w:style w:type="paragraph" w:styleId="789" w:customStyle="1">
    <w:name w:val="Heading 6"/>
    <w:basedOn w:val="774"/>
    <w:next w:val="774"/>
    <w:link w:val="79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90" w:customStyle="1">
    <w:name w:val="Heading 6 Char"/>
    <w:link w:val="789"/>
    <w:uiPriority w:val="9"/>
    <w:rPr>
      <w:rFonts w:ascii="Arial" w:hAnsi="Arial" w:eastAsia="Arial" w:cs="Arial"/>
      <w:b/>
      <w:bCs/>
      <w:sz w:val="22"/>
      <w:szCs w:val="22"/>
    </w:rPr>
  </w:style>
  <w:style w:type="paragraph" w:styleId="791" w:customStyle="1">
    <w:name w:val="Heading 7"/>
    <w:basedOn w:val="774"/>
    <w:next w:val="774"/>
    <w:link w:val="79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7 Char"/>
    <w:link w:val="79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93" w:customStyle="1">
    <w:name w:val="Heading 8"/>
    <w:basedOn w:val="774"/>
    <w:next w:val="774"/>
    <w:link w:val="79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94" w:customStyle="1">
    <w:name w:val="Heading 8 Char"/>
    <w:link w:val="793"/>
    <w:uiPriority w:val="9"/>
    <w:rPr>
      <w:rFonts w:ascii="Arial" w:hAnsi="Arial" w:eastAsia="Arial" w:cs="Arial"/>
      <w:i/>
      <w:iCs/>
      <w:sz w:val="22"/>
      <w:szCs w:val="22"/>
    </w:rPr>
  </w:style>
  <w:style w:type="paragraph" w:styleId="795" w:customStyle="1">
    <w:name w:val="Heading 9"/>
    <w:basedOn w:val="774"/>
    <w:next w:val="774"/>
    <w:link w:val="79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6" w:customStyle="1">
    <w:name w:val="Heading 9 Char"/>
    <w:link w:val="795"/>
    <w:uiPriority w:val="9"/>
    <w:rPr>
      <w:rFonts w:ascii="Arial" w:hAnsi="Arial" w:eastAsia="Arial" w:cs="Arial"/>
      <w:i/>
      <w:iCs/>
      <w:sz w:val="21"/>
      <w:szCs w:val="21"/>
    </w:rPr>
  </w:style>
  <w:style w:type="paragraph" w:styleId="797">
    <w:name w:val="List Paragraph"/>
    <w:basedOn w:val="774"/>
    <w:uiPriority w:val="34"/>
    <w:qFormat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paragraph" w:styleId="798">
    <w:name w:val="No Spacing"/>
    <w:uiPriority w:val="1"/>
    <w:qFormat/>
    <w:rPr>
      <w:sz w:val="22"/>
      <w:szCs w:val="22"/>
      <w:lang w:eastAsia="en-US"/>
    </w:rPr>
  </w:style>
  <w:style w:type="paragraph" w:styleId="799">
    <w:name w:val="Title"/>
    <w:basedOn w:val="774"/>
    <w:next w:val="774"/>
    <w:link w:val="80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00" w:customStyle="1">
    <w:name w:val="Название Знак"/>
    <w:link w:val="799"/>
    <w:uiPriority w:val="10"/>
    <w:rPr>
      <w:sz w:val="48"/>
      <w:szCs w:val="48"/>
    </w:rPr>
  </w:style>
  <w:style w:type="paragraph" w:styleId="801">
    <w:name w:val="Subtitle"/>
    <w:basedOn w:val="774"/>
    <w:next w:val="774"/>
    <w:link w:val="802"/>
    <w:uiPriority w:val="11"/>
    <w:qFormat/>
    <w:pPr>
      <w:spacing w:before="200" w:after="200"/>
    </w:pPr>
  </w:style>
  <w:style w:type="character" w:styleId="802" w:customStyle="1">
    <w:name w:val="Подзаголовок Знак"/>
    <w:link w:val="801"/>
    <w:uiPriority w:val="11"/>
    <w:rPr>
      <w:sz w:val="24"/>
      <w:szCs w:val="24"/>
    </w:rPr>
  </w:style>
  <w:style w:type="paragraph" w:styleId="803">
    <w:name w:val="Quote"/>
    <w:basedOn w:val="774"/>
    <w:next w:val="774"/>
    <w:link w:val="804"/>
    <w:uiPriority w:val="29"/>
    <w:qFormat/>
    <w:pPr>
      <w:ind w:left="720" w:right="720"/>
    </w:pPr>
    <w:rPr>
      <w:i/>
    </w:rPr>
  </w:style>
  <w:style w:type="character" w:styleId="804" w:customStyle="1">
    <w:name w:val="Цитата 2 Знак"/>
    <w:link w:val="803"/>
    <w:uiPriority w:val="29"/>
    <w:rPr>
      <w:i/>
    </w:rPr>
  </w:style>
  <w:style w:type="paragraph" w:styleId="805">
    <w:name w:val="Intense Quote"/>
    <w:basedOn w:val="774"/>
    <w:next w:val="774"/>
    <w:link w:val="80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6" w:customStyle="1">
    <w:name w:val="Выделенная цитата Знак"/>
    <w:link w:val="805"/>
    <w:uiPriority w:val="30"/>
    <w:rPr>
      <w:i/>
    </w:rPr>
  </w:style>
  <w:style w:type="paragraph" w:styleId="807" w:customStyle="1">
    <w:name w:val="Header"/>
    <w:basedOn w:val="774"/>
    <w:link w:val="80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08" w:customStyle="1">
    <w:name w:val="Header Char"/>
    <w:link w:val="807"/>
    <w:uiPriority w:val="99"/>
  </w:style>
  <w:style w:type="paragraph" w:styleId="809" w:customStyle="1">
    <w:name w:val="Footer"/>
    <w:basedOn w:val="774"/>
    <w:link w:val="81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810" w:customStyle="1">
    <w:name w:val="Footer Char"/>
    <w:link w:val="809"/>
    <w:uiPriority w:val="99"/>
  </w:style>
  <w:style w:type="paragraph" w:styleId="811" w:customStyle="1">
    <w:name w:val="Caption"/>
    <w:basedOn w:val="774"/>
    <w:next w:val="77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2" w:customStyle="1">
    <w:name w:val="Caption Char"/>
    <w:link w:val="809"/>
    <w:uiPriority w:val="99"/>
  </w:style>
  <w:style w:type="table" w:styleId="813">
    <w:name w:val="Table Grid"/>
    <w:basedOn w:val="777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14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5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6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17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18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2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43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44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45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46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47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48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49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50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51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52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53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54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55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56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57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58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59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60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1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62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77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78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79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80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81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82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83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4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5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8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99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0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1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2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3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4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05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06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07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08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09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10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11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9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0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1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2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23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24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25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6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27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28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29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30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31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32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33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34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35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36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37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38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39">
    <w:name w:val="Hyperlink"/>
    <w:unhideWhenUsed/>
    <w:rPr>
      <w:color w:val="0000ff"/>
      <w:u w:val="single"/>
    </w:rPr>
  </w:style>
  <w:style w:type="paragraph" w:styleId="940">
    <w:name w:val="footnote text"/>
    <w:basedOn w:val="774"/>
    <w:link w:val="995"/>
    <w:uiPriority w:val="99"/>
    <w:unhideWhenUsed/>
    <w:rPr>
      <w:rFonts w:ascii="Calibri" w:hAnsi="Calibri" w:eastAsia="Calibri"/>
      <w:sz w:val="20"/>
      <w:szCs w:val="20"/>
      <w:lang w:eastAsia="en-US"/>
    </w:rPr>
  </w:style>
  <w:style w:type="character" w:styleId="941" w:customStyle="1">
    <w:name w:val="Footnote Text Char"/>
    <w:link w:val="940"/>
    <w:uiPriority w:val="99"/>
    <w:rPr>
      <w:sz w:val="18"/>
    </w:rPr>
  </w:style>
  <w:style w:type="character" w:styleId="942">
    <w:name w:val="footnote reference"/>
    <w:uiPriority w:val="99"/>
    <w:semiHidden/>
    <w:unhideWhenUsed/>
    <w:rPr>
      <w:vertAlign w:val="superscript"/>
    </w:rPr>
  </w:style>
  <w:style w:type="paragraph" w:styleId="943">
    <w:name w:val="endnote text"/>
    <w:basedOn w:val="774"/>
    <w:link w:val="994"/>
    <w:uiPriority w:val="99"/>
    <w:semiHidden/>
    <w:unhideWhenUsed/>
    <w:rPr>
      <w:rFonts w:ascii="Calibri" w:hAnsi="Calibri" w:eastAsia="Calibri"/>
      <w:sz w:val="20"/>
      <w:szCs w:val="20"/>
      <w:lang w:eastAsia="en-US"/>
    </w:rPr>
  </w:style>
  <w:style w:type="character" w:styleId="944" w:customStyle="1">
    <w:name w:val="Endnote Text Char"/>
    <w:link w:val="943"/>
    <w:uiPriority w:val="99"/>
    <w:rPr>
      <w:sz w:val="20"/>
    </w:rPr>
  </w:style>
  <w:style w:type="character" w:styleId="945">
    <w:name w:val="endnote reference"/>
    <w:uiPriority w:val="99"/>
    <w:semiHidden/>
    <w:unhideWhenUsed/>
    <w:rPr>
      <w:vertAlign w:val="superscript"/>
    </w:rPr>
  </w:style>
  <w:style w:type="paragraph" w:styleId="946">
    <w:name w:val="toc 1"/>
    <w:basedOn w:val="774"/>
    <w:next w:val="774"/>
    <w:uiPriority w:val="39"/>
    <w:unhideWhenUsed/>
    <w:pPr>
      <w:spacing w:after="57"/>
    </w:pPr>
  </w:style>
  <w:style w:type="paragraph" w:styleId="947">
    <w:name w:val="toc 2"/>
    <w:basedOn w:val="774"/>
    <w:next w:val="774"/>
    <w:uiPriority w:val="39"/>
    <w:unhideWhenUsed/>
    <w:pPr>
      <w:ind w:left="283"/>
      <w:spacing w:after="57"/>
    </w:pPr>
  </w:style>
  <w:style w:type="paragraph" w:styleId="948">
    <w:name w:val="toc 3"/>
    <w:basedOn w:val="774"/>
    <w:next w:val="774"/>
    <w:uiPriority w:val="39"/>
    <w:unhideWhenUsed/>
    <w:pPr>
      <w:ind w:left="567"/>
      <w:spacing w:after="57"/>
    </w:pPr>
  </w:style>
  <w:style w:type="paragraph" w:styleId="949">
    <w:name w:val="toc 4"/>
    <w:basedOn w:val="774"/>
    <w:next w:val="774"/>
    <w:uiPriority w:val="39"/>
    <w:unhideWhenUsed/>
    <w:pPr>
      <w:ind w:left="850"/>
      <w:spacing w:after="57"/>
    </w:pPr>
  </w:style>
  <w:style w:type="paragraph" w:styleId="950">
    <w:name w:val="toc 5"/>
    <w:basedOn w:val="774"/>
    <w:next w:val="774"/>
    <w:uiPriority w:val="39"/>
    <w:unhideWhenUsed/>
    <w:pPr>
      <w:ind w:left="1134"/>
      <w:spacing w:after="57"/>
    </w:pPr>
  </w:style>
  <w:style w:type="paragraph" w:styleId="951">
    <w:name w:val="toc 6"/>
    <w:basedOn w:val="774"/>
    <w:next w:val="774"/>
    <w:uiPriority w:val="39"/>
    <w:unhideWhenUsed/>
    <w:pPr>
      <w:ind w:left="1417"/>
      <w:spacing w:after="57"/>
    </w:pPr>
  </w:style>
  <w:style w:type="paragraph" w:styleId="952">
    <w:name w:val="toc 7"/>
    <w:basedOn w:val="774"/>
    <w:next w:val="774"/>
    <w:uiPriority w:val="39"/>
    <w:unhideWhenUsed/>
    <w:pPr>
      <w:ind w:left="1701"/>
      <w:spacing w:after="57"/>
    </w:pPr>
  </w:style>
  <w:style w:type="paragraph" w:styleId="953">
    <w:name w:val="toc 8"/>
    <w:basedOn w:val="774"/>
    <w:next w:val="774"/>
    <w:uiPriority w:val="39"/>
    <w:unhideWhenUsed/>
    <w:pPr>
      <w:ind w:left="1984"/>
      <w:spacing w:after="57"/>
    </w:pPr>
  </w:style>
  <w:style w:type="paragraph" w:styleId="954">
    <w:name w:val="toc 9"/>
    <w:basedOn w:val="774"/>
    <w:next w:val="774"/>
    <w:uiPriority w:val="39"/>
    <w:unhideWhenUsed/>
    <w:pPr>
      <w:ind w:left="2268"/>
      <w:spacing w:after="57"/>
    </w:pPr>
  </w:style>
  <w:style w:type="paragraph" w:styleId="955">
    <w:name w:val="TOC Heading"/>
    <w:uiPriority w:val="39"/>
    <w:unhideWhenUsed/>
  </w:style>
  <w:style w:type="paragraph" w:styleId="956">
    <w:name w:val="table of figures"/>
    <w:basedOn w:val="774"/>
    <w:next w:val="774"/>
    <w:uiPriority w:val="99"/>
    <w:unhideWhenUsed/>
  </w:style>
  <w:style w:type="paragraph" w:styleId="957" w:customStyle="1">
    <w:name w:val="Заголовок 1;Заголовок 1 Знак Знак Знак Знак Знак"/>
    <w:basedOn w:val="774"/>
    <w:next w:val="774"/>
    <w:link w:val="978"/>
    <w:qFormat/>
    <w:pPr>
      <w:keepLines/>
      <w:keepNext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styleId="958" w:customStyle="1">
    <w:name w:val="Заголовок 3 Знак"/>
    <w:link w:val="775"/>
    <w:uiPriority w:val="9"/>
    <w:semiHidden/>
    <w:rPr>
      <w:rFonts w:ascii="Cambria" w:hAnsi="Cambria" w:eastAsia="Times New Roman" w:cs="Times New Roman"/>
      <w:b/>
      <w:bCs/>
      <w:sz w:val="26"/>
      <w:szCs w:val="26"/>
      <w:lang w:eastAsia="ru-RU"/>
    </w:rPr>
  </w:style>
  <w:style w:type="paragraph" w:styleId="959">
    <w:name w:val="Body Text Indent"/>
    <w:basedOn w:val="774"/>
    <w:link w:val="960"/>
    <w:unhideWhenUsed/>
    <w:pPr>
      <w:ind w:firstLine="708"/>
      <w:jc w:val="both"/>
    </w:pPr>
  </w:style>
  <w:style w:type="character" w:styleId="960" w:customStyle="1">
    <w:name w:val="Основной текст с отступом Знак"/>
    <w:link w:val="95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1">
    <w:name w:val="Balloon Text"/>
    <w:basedOn w:val="774"/>
    <w:link w:val="962"/>
    <w:uiPriority w:val="99"/>
    <w:semiHidden/>
    <w:unhideWhenUsed/>
    <w:rPr>
      <w:rFonts w:ascii="Tahoma" w:hAnsi="Tahoma"/>
      <w:sz w:val="16"/>
      <w:szCs w:val="16"/>
    </w:rPr>
  </w:style>
  <w:style w:type="character" w:styleId="962" w:customStyle="1">
    <w:name w:val="Текст выноски Знак"/>
    <w:link w:val="961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963" w:customStyle="1">
    <w:name w:val="Заголовок"/>
    <w:basedOn w:val="774"/>
    <w:link w:val="964"/>
    <w:qFormat/>
    <w:pPr>
      <w:jc w:val="center"/>
    </w:pPr>
    <w:rPr>
      <w:sz w:val="28"/>
    </w:rPr>
  </w:style>
  <w:style w:type="character" w:styleId="964" w:customStyle="1">
    <w:name w:val="Заголовок Знак"/>
    <w:link w:val="963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965">
    <w:name w:val="Body Text 2"/>
    <w:basedOn w:val="774"/>
    <w:link w:val="966"/>
    <w:uiPriority w:val="99"/>
    <w:unhideWhenUsed/>
    <w:pPr>
      <w:spacing w:after="120" w:line="480" w:lineRule="auto"/>
    </w:pPr>
  </w:style>
  <w:style w:type="character" w:styleId="966" w:customStyle="1">
    <w:name w:val="Основной текст 2 Знак"/>
    <w:link w:val="96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67">
    <w:name w:val="Body Text 3"/>
    <w:basedOn w:val="774"/>
    <w:link w:val="968"/>
    <w:uiPriority w:val="99"/>
    <w:semiHidden/>
    <w:unhideWhenUsed/>
    <w:pPr>
      <w:spacing w:after="120"/>
    </w:pPr>
    <w:rPr>
      <w:sz w:val="16"/>
      <w:szCs w:val="16"/>
    </w:rPr>
  </w:style>
  <w:style w:type="character" w:styleId="968" w:customStyle="1">
    <w:name w:val="Основной текст 3 Знак"/>
    <w:link w:val="967"/>
    <w:uiPriority w:val="99"/>
    <w:semiHidden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969">
    <w:name w:val="Body Text"/>
    <w:basedOn w:val="774"/>
    <w:link w:val="970"/>
    <w:pPr>
      <w:spacing w:after="120"/>
    </w:pPr>
  </w:style>
  <w:style w:type="character" w:styleId="970" w:customStyle="1">
    <w:name w:val="Основной текст Знак"/>
    <w:link w:val="96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71" w:customStyle="1">
    <w:name w:val="ConsPlusNormal"/>
    <w:link w:val="1005"/>
    <w:pPr>
      <w:ind w:firstLine="720"/>
      <w:widowControl w:val="off"/>
    </w:pPr>
    <w:rPr>
      <w:rFonts w:ascii="Arial" w:hAnsi="Arial" w:eastAsia="Times New Roman" w:cs="Arial"/>
      <w:lang w:eastAsia="ru-RU"/>
    </w:rPr>
  </w:style>
  <w:style w:type="paragraph" w:styleId="972" w:customStyle="1">
    <w:name w:val="ConsPlusTitle"/>
    <w:uiPriority w:val="99"/>
    <w:pPr>
      <w:widowControl w:val="off"/>
    </w:pPr>
    <w:rPr>
      <w:rFonts w:ascii="Arial" w:hAnsi="Arial" w:eastAsia="Times New Roman" w:cs="Arial"/>
      <w:b/>
      <w:bCs/>
      <w:lang w:eastAsia="ru-RU"/>
    </w:rPr>
  </w:style>
  <w:style w:type="paragraph" w:styleId="973">
    <w:name w:val="Footer"/>
    <w:basedOn w:val="774"/>
    <w:link w:val="974"/>
    <w:uiPriority w:val="99"/>
    <w:pPr>
      <w:tabs>
        <w:tab w:val="center" w:pos="4677" w:leader="none"/>
        <w:tab w:val="right" w:pos="9355" w:leader="none"/>
      </w:tabs>
    </w:pPr>
  </w:style>
  <w:style w:type="character" w:styleId="974" w:customStyle="1">
    <w:name w:val="Нижний колонтитул Знак"/>
    <w:link w:val="9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75">
    <w:name w:val="page number"/>
    <w:basedOn w:val="776"/>
  </w:style>
  <w:style w:type="paragraph" w:styleId="976">
    <w:name w:val="Header"/>
    <w:basedOn w:val="774"/>
    <w:link w:val="977"/>
    <w:uiPriority w:val="99"/>
    <w:pPr>
      <w:tabs>
        <w:tab w:val="center" w:pos="4677" w:leader="none"/>
        <w:tab w:val="right" w:pos="9355" w:leader="none"/>
      </w:tabs>
    </w:pPr>
    <w:rPr>
      <w:szCs w:val="20"/>
    </w:rPr>
  </w:style>
  <w:style w:type="character" w:styleId="977" w:customStyle="1">
    <w:name w:val="Верхний колонтитул Знак"/>
    <w:link w:val="976"/>
    <w:uiPriority w:val="99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978" w:customStyle="1">
    <w:name w:val="Заголовок 1 Знак;Заголовок 1 Знак Знак Знак Знак Знак Знак"/>
    <w:link w:val="957"/>
    <w:rPr>
      <w:rFonts w:ascii="Cambria" w:hAnsi="Cambria" w:eastAsia="Times New Roman" w:cs="Times New Roman"/>
      <w:b/>
      <w:bCs/>
      <w:color w:val="365f91"/>
      <w:sz w:val="28"/>
      <w:szCs w:val="28"/>
      <w:lang w:eastAsia="ru-RU"/>
    </w:rPr>
  </w:style>
  <w:style w:type="character" w:styleId="979" w:customStyle="1">
    <w:name w:val="Текст выноски Знак1"/>
    <w:uiPriority w:val="99"/>
    <w:semiHidden/>
    <w:rPr>
      <w:rFonts w:ascii="Tahoma" w:hAnsi="Tahoma" w:eastAsia="Times New Roman" w:cs="Tahoma"/>
      <w:sz w:val="16"/>
      <w:szCs w:val="16"/>
    </w:rPr>
  </w:style>
  <w:style w:type="character" w:styleId="980" w:customStyle="1">
    <w:name w:val="Основной текст 3 Знак1"/>
    <w:uiPriority w:val="99"/>
    <w:semiHidden/>
    <w:rPr>
      <w:rFonts w:ascii="Times New Roman" w:hAnsi="Times New Roman" w:eastAsia="Times New Roman"/>
      <w:sz w:val="16"/>
      <w:szCs w:val="16"/>
    </w:rPr>
  </w:style>
  <w:style w:type="paragraph" w:styleId="981" w:customStyle="1">
    <w:name w:val="Обычный (веб);Знак Знак"/>
    <w:basedOn w:val="774"/>
    <w:link w:val="983"/>
    <w:unhideWhenUsed/>
    <w:qFormat/>
    <w:pPr>
      <w:spacing w:before="100" w:beforeAutospacing="1" w:after="100" w:afterAutospacing="1"/>
    </w:pPr>
  </w:style>
  <w:style w:type="character" w:styleId="982">
    <w:name w:val="Strong"/>
    <w:uiPriority w:val="22"/>
    <w:qFormat/>
    <w:rPr>
      <w:b/>
      <w:bCs/>
    </w:rPr>
  </w:style>
  <w:style w:type="character" w:styleId="983" w:customStyle="1">
    <w:name w:val="Обычный (веб) Знак;Знак Знак Знак"/>
    <w:link w:val="981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84" w:customStyle="1">
    <w:name w:val="ConsPlusCell"/>
    <w:uiPriority w:val="99"/>
    <w:pPr>
      <w:widowControl w:val="off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 w:customStyle="1">
    <w:name w:val="ConsPlusNonformat"/>
    <w:uiPriority w:val="99"/>
    <w:rPr>
      <w:rFonts w:ascii="Courier New" w:hAnsi="Courier New" w:eastAsia="Times New Roman" w:cs="Courier New"/>
      <w:lang w:eastAsia="ru-RU"/>
    </w:rPr>
  </w:style>
  <w:style w:type="paragraph" w:styleId="986">
    <w:name w:val="HTML Preformatted"/>
    <w:basedOn w:val="774"/>
    <w:link w:val="987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/>
      <w:sz w:val="20"/>
      <w:szCs w:val="20"/>
    </w:rPr>
  </w:style>
  <w:style w:type="character" w:styleId="987" w:customStyle="1">
    <w:name w:val="Стандартный HTML Знак"/>
    <w:link w:val="986"/>
    <w:rPr>
      <w:rFonts w:ascii="Courier New" w:hAnsi="Courier New" w:eastAsia="Times New Roman" w:cs="Courier New"/>
      <w:sz w:val="20"/>
      <w:szCs w:val="20"/>
      <w:lang w:eastAsia="ru-RU"/>
    </w:rPr>
  </w:style>
  <w:style w:type="paragraph" w:styleId="988" w:customStyle="1">
    <w:name w:val="Обычный1"/>
    <w:rPr>
      <w:rFonts w:ascii="Times New Roman" w:hAnsi="Times New Roman" w:eastAsia="Times New Roman"/>
      <w:sz w:val="24"/>
      <w:lang w:eastAsia="ru-RU"/>
    </w:rPr>
  </w:style>
  <w:style w:type="paragraph" w:styleId="989" w:customStyle="1">
    <w:name w:val="Нормальный (таблица)"/>
    <w:basedOn w:val="774"/>
    <w:next w:val="774"/>
    <w:uiPriority w:val="99"/>
    <w:pPr>
      <w:jc w:val="both"/>
      <w:widowControl w:val="off"/>
    </w:pPr>
    <w:rPr>
      <w:rFonts w:ascii="Arial" w:hAnsi="Arial" w:cs="Arial"/>
    </w:rPr>
  </w:style>
  <w:style w:type="paragraph" w:styleId="990" w:customStyle="1">
    <w:name w:val="Прижатый влево"/>
    <w:basedOn w:val="774"/>
    <w:next w:val="774"/>
    <w:uiPriority w:val="99"/>
    <w:pPr>
      <w:widowControl w:val="off"/>
    </w:pPr>
    <w:rPr>
      <w:rFonts w:ascii="Arial" w:hAnsi="Arial" w:cs="Arial"/>
    </w:rPr>
  </w:style>
  <w:style w:type="paragraph" w:styleId="991">
    <w:name w:val="Revision"/>
    <w:hidden/>
    <w:uiPriority w:val="99"/>
    <w:semiHidden/>
    <w:rPr>
      <w:rFonts w:ascii="Times New Roman" w:hAnsi="Times New Roman" w:eastAsia="Times New Roman"/>
      <w:sz w:val="24"/>
      <w:szCs w:val="24"/>
      <w:lang w:eastAsia="ru-RU"/>
    </w:rPr>
  </w:style>
  <w:style w:type="numbering" w:styleId="992" w:customStyle="1">
    <w:name w:val="Нет списка1"/>
    <w:next w:val="778"/>
    <w:uiPriority w:val="99"/>
    <w:semiHidden/>
    <w:unhideWhenUsed/>
  </w:style>
  <w:style w:type="numbering" w:styleId="993" w:customStyle="1">
    <w:name w:val="Нет списка11"/>
    <w:next w:val="778"/>
    <w:uiPriority w:val="99"/>
    <w:semiHidden/>
    <w:unhideWhenUsed/>
  </w:style>
  <w:style w:type="character" w:styleId="994" w:customStyle="1">
    <w:name w:val="Текст концевой сноски Знак"/>
    <w:link w:val="943"/>
    <w:uiPriority w:val="99"/>
    <w:semiHidden/>
    <w:rPr>
      <w:lang w:eastAsia="en-US"/>
    </w:rPr>
  </w:style>
  <w:style w:type="character" w:styleId="995" w:customStyle="1">
    <w:name w:val="Текст сноски Знак"/>
    <w:link w:val="940"/>
    <w:uiPriority w:val="99"/>
    <w:rPr>
      <w:lang w:eastAsia="en-US"/>
    </w:rPr>
  </w:style>
  <w:style w:type="table" w:styleId="996" w:customStyle="1">
    <w:name w:val="Сетка таблицы1"/>
    <w:basedOn w:val="777"/>
    <w:next w:val="813"/>
    <w:uiPriority w:val="59"/>
    <w:rPr>
      <w:sz w:val="22"/>
      <w:szCs w:val="22"/>
      <w:lang w:eastAsia="en-US"/>
    </w:rPr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997" w:customStyle="1">
    <w:name w:val="formattext"/>
    <w:basedOn w:val="774"/>
    <w:pPr>
      <w:spacing w:before="100" w:beforeAutospacing="1" w:after="100" w:afterAutospacing="1"/>
    </w:pPr>
    <w:rPr>
      <w:rFonts w:eastAsia="Calibri"/>
    </w:rPr>
  </w:style>
  <w:style w:type="character" w:styleId="998">
    <w:name w:val="annotation reference"/>
    <w:uiPriority w:val="99"/>
    <w:semiHidden/>
    <w:unhideWhenUsed/>
    <w:rPr>
      <w:sz w:val="16"/>
      <w:szCs w:val="16"/>
    </w:rPr>
  </w:style>
  <w:style w:type="paragraph" w:styleId="999">
    <w:name w:val="annotation text"/>
    <w:basedOn w:val="774"/>
    <w:link w:val="1000"/>
    <w:uiPriority w:val="99"/>
    <w:semiHidden/>
    <w:unhideWhenUsed/>
    <w:rPr>
      <w:sz w:val="20"/>
      <w:szCs w:val="20"/>
    </w:rPr>
  </w:style>
  <w:style w:type="character" w:styleId="1000" w:customStyle="1">
    <w:name w:val="Текст примечания Знак"/>
    <w:link w:val="999"/>
    <w:uiPriority w:val="99"/>
    <w:semiHidden/>
    <w:rPr>
      <w:rFonts w:ascii="Times New Roman" w:hAnsi="Times New Roman" w:eastAsia="Times New Roman"/>
    </w:rPr>
  </w:style>
  <w:style w:type="paragraph" w:styleId="1001">
    <w:name w:val="annotation subject"/>
    <w:basedOn w:val="999"/>
    <w:next w:val="999"/>
    <w:link w:val="1002"/>
    <w:uiPriority w:val="99"/>
    <w:semiHidden/>
    <w:unhideWhenUsed/>
    <w:rPr>
      <w:b/>
      <w:bCs/>
    </w:rPr>
  </w:style>
  <w:style w:type="character" w:styleId="1002" w:customStyle="1">
    <w:name w:val="Тема примечания Знак"/>
    <w:link w:val="1001"/>
    <w:uiPriority w:val="99"/>
    <w:semiHidden/>
    <w:rPr>
      <w:rFonts w:ascii="Times New Roman" w:hAnsi="Times New Roman" w:eastAsia="Times New Roman"/>
      <w:b/>
      <w:bCs/>
    </w:rPr>
  </w:style>
  <w:style w:type="character" w:styleId="1003" w:customStyle="1">
    <w:name w:val="hl"/>
  </w:style>
  <w:style w:type="character" w:styleId="1004" w:customStyle="1">
    <w:name w:val="nobr"/>
  </w:style>
  <w:style w:type="character" w:styleId="1005" w:customStyle="1">
    <w:name w:val="ConsPlusNormal Знак"/>
    <w:link w:val="971"/>
    <w:rPr>
      <w:rFonts w:ascii="Arial" w:hAnsi="Arial" w:eastAsia="Times New Roman" w:cs="Arial"/>
      <w:lang w:val="ru-RU" w:eastAsia="ru-RU" w:bidi="ar-SA"/>
    </w:rPr>
  </w:style>
  <w:style w:type="table" w:styleId="1006" w:customStyle="1">
    <w:name w:val="Сетка таблицы2"/>
    <w:basedOn w:val="777"/>
    <w:next w:val="813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hyperlink" Target="consultantplus://offline/ref=DBB753914FFF3C03988D2A046A4718EA8C55D8D6304999ABC784218CFE62D256C618C5B574120B9E7448E799478E47C12D835AC5DDF8B1D396FE8A1FYEf5F" TargetMode="External"/><Relationship Id="rId13" Type="http://schemas.openxmlformats.org/officeDocument/2006/relationships/hyperlink" Target="https://login.consultant.ru/link/?req=doc&amp;base=RLAW926&amp;n=238526&amp;dst=102845&amp;field=134&amp;date=29.09.20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Куриленко Татьяна Сергеевна</dc:creator>
  <cp:revision>39</cp:revision>
  <dcterms:created xsi:type="dcterms:W3CDTF">2023-02-22T04:10:00Z</dcterms:created>
  <dcterms:modified xsi:type="dcterms:W3CDTF">2025-02-19T05:59:45Z</dcterms:modified>
  <cp:version>1048576</cp:version>
</cp:coreProperties>
</file>