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>
        <w:trPr>
          <w:trHeight w:val="2791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textDirection w:val="lrTb"/>
            <w:noWrap w:val="false"/>
          </w:tcPr>
          <w:p>
            <w:pPr>
              <w:pStyle w:val="744"/>
              <w:ind w:left="0" w:firstLine="0"/>
              <w:jc w:val="left"/>
              <w:spacing w:before="0" w:after="0" w:line="240" w:lineRule="auto"/>
              <w:rPr>
                <w:rFonts w:ascii="Tahoma" w:hAnsi="Tahoma" w:eastAsia="Tahoma" w:cs="Tahoma"/>
                <w:b w:val="0"/>
                <w:i w:val="0"/>
                <w:strike w:val="0"/>
                <w:sz w:val="20"/>
              </w:rPr>
            </w:pPr>
            <w:r>
              <w:rPr>
                <w:rFonts w:ascii="Tahoma" w:hAnsi="Tahoma" w:eastAsia="Tahoma" w:cs="Tahoma"/>
                <w:b w:val="0"/>
                <w:i w:val="0"/>
                <w:strike w:val="0"/>
                <w:sz w:val="20"/>
              </w:rPr>
            </w:r>
            <w:r/>
          </w:p>
        </w:tc>
      </w:tr>
      <w:tr>
        <w:trPr>
          <w:trHeight w:val="7676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vAlign w:val="center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spacing w:before="0" w:after="0" w:line="240" w:lineRule="auto"/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</w:pP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Решение Думы города Нижневартовска от 25.03.2022 N 119</w:t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br/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(ред. от 15.12.2023)</w:t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br/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"О перечне индикаторов риска нарушения обязательных требований по муниципальному жилищному контролю на территории города Нижневартовска"</w:t>
            </w:r>
            <w:r>
              <w:rPr>
                <w:lang w:val="ru-RU"/>
              </w:rPr>
            </w:r>
          </w:p>
        </w:tc>
      </w:tr>
      <w:tr>
        <w:trPr>
          <w:trHeight w:val="2791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vAlign w:val="center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spacing w:before="0" w:after="0" w:line="240" w:lineRule="auto"/>
              <w:rPr>
                <w:rFonts w:ascii="Tahoma" w:hAnsi="Tahoma" w:eastAsia="Tahoma" w:cs="Tahoma"/>
                <w:b w:val="0"/>
                <w:i w:val="0"/>
                <w:strike w:val="0"/>
                <w:sz w:val="28"/>
                <w:lang w:val="ru-RU"/>
              </w:rPr>
            </w:pPr>
            <w:r>
              <w:rPr>
                <w:rFonts w:ascii="Tahoma" w:hAnsi="Tahoma" w:eastAsia="Tahoma" w:cs="Tahoma"/>
                <w:b w:val="0"/>
                <w:i w:val="0"/>
                <w:strike w:val="0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erReference w:type="default" r:id="rId9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ДУМА ГОРОДА НИЖНЕВАРТОВСКА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РЕШЕНИЕ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от 25 марта 2022 г. N 119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О ПЕРЕЧНЕ ИНДИКАТОРОВ РИСКА НАРУШЕНИЯ ОБЯЗАТЕЛЬНЫХ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ТРЕБОВАНИЙ ПО МУНИЦИПАЛЬНОМУ ЖИЛИЩНОМУ КОНТРОЛЮ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НА ТЕРРИТОРИИ ГОРОДА НИЖНЕВАРТОВСКА</w:t>
      </w:r>
      <w:r>
        <w:rPr>
          <w:lang w:val="ru-RU"/>
        </w:rPr>
      </w:r>
    </w:p>
    <w:p>
      <w:pPr>
        <w:jc w:val="left"/>
        <w:spacing w:before="0"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lang w:val="ru-RU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Список изменяющих документов</w:t>
            </w:r>
            <w:r>
              <w:rPr>
                <w:lang w:val="ru-RU"/>
              </w:rPr>
            </w:r>
          </w:p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(в ред. </w:t>
            </w:r>
            <w:hyperlink r:id="rId11" w:tooltip="https://login.consultant.ru/link/?req=doc&amp;base=RLAW926&amp;n=293218&amp;date=21.12.2023&amp;dst=100005&amp;field=13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  <w:lang w:val="ru-RU"/>
                </w:rPr>
                <w:t xml:space="preserve">решения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 Думы города Нижневартовска от 15.12.2023 N 361)</w:t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Рассмотрев проект решения Думы города Нижневартовска "О перечне индикаторов риска нарушения обязательных требований по муниципальному жилищному контролю на территории города Нижневартовска", внесенный главой города Нижневартовска, в соответствии с </w:t>
      </w:r>
      <w:hyperlink r:id="rId12" w:tooltip="https://login.consultant.ru/link/?req=doc&amp;base=LAW&amp;n=460028&amp;date=21.12.2023&amp;dst=100273&amp;field=1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  <w:lang w:val="ru-RU"/>
          </w:rPr>
          <w:t xml:space="preserve">частью 10 статьи 23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Федерального закона N 248-ФЗ "О государственном контроле (надзоре) и муниципальном контроле в Российской Федерации", </w:t>
      </w:r>
      <w:hyperlink r:id="rId13" w:tooltip="https://login.consultant.ru/link/?req=doc&amp;base=LAW&amp;n=464183&amp;date=21.12.2023&amp;dst=1032&amp;field=1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  <w:lang w:val="ru-RU"/>
          </w:rPr>
          <w:t xml:space="preserve">частью 13 статьи 20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Жилищного кодекса Российской Федерации, руководствуясь </w:t>
      </w:r>
      <w:hyperlink r:id="rId14" w:tooltip="https://login.consultant.ru/link/?req=doc&amp;base=RLAW926&amp;n=281839&amp;date=21.12.2023&amp;dst=101536&amp;field=1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  <w:lang w:val="ru-RU"/>
          </w:rPr>
          <w:t xml:space="preserve">статьей 19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Устава города Нижневартовска, Дума города решила: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1. Утвердить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  <w:lang w:val="ru-RU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индикаторов риска нарушения обязательных требований по муниципальному жилищному контролю на территории города Нижневартовска согласно приложению к настоящему решению.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2. Решение вступает в силу после его официального опубликования.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Председатель Думы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А.В.САТИНОВ</w:t>
      </w:r>
      <w:r>
        <w:rPr>
          <w:lang w:val="ru-RU"/>
        </w:rPr>
      </w:r>
    </w:p>
    <w:p>
      <w:pPr>
        <w:pStyle w:val="73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29 марта 2022 года</w:t>
      </w:r>
      <w:r>
        <w:rPr>
          <w:lang w:val="ru-RU"/>
        </w:rPr>
      </w:r>
    </w:p>
    <w:p>
      <w:pPr>
        <w:pStyle w:val="73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Глава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Д.А.КОЩЕНКО</w:t>
      </w:r>
      <w:r>
        <w:rPr>
          <w:lang w:val="ru-RU"/>
        </w:rPr>
      </w:r>
    </w:p>
    <w:p>
      <w:pPr>
        <w:pStyle w:val="73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30 марта 2022 года</w:t>
      </w:r>
      <w:r>
        <w:rPr>
          <w:lang w:val="ru-RU"/>
        </w:rPr>
      </w:r>
    </w:p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Приложение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к решению Думы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от 25.03.2022 N 119</w:t>
      </w:r>
      <w:r>
        <w:rPr>
          <w:lang w:val="ru-RU"/>
        </w:rPr>
      </w:r>
    </w:p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lang w:val="ru-RU"/>
        </w:rPr>
      </w:r>
      <w:bookmarkStart w:id="1" w:name="Par35"/>
      <w:r>
        <w:rPr>
          <w:lang w:val="ru-RU"/>
        </w:rPr>
      </w:r>
      <w:bookmarkEnd w:id="1"/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ПЕРЕЧЕНЬ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ИНДИКАТОРОВ РИСКА НАРУШЕНИЯ ОБЯЗАТЕЛЬНЫХ ТРЕБОВАНИЙ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ПО МУНИЦИПАЛЬНОМУ ЖИЛИЩНОМУ КОНТРОЛЮ НА ТЕРРИТОРИИ ГОРОДА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НИЖНЕВАРТОВСКА</w:t>
      </w:r>
      <w:r>
        <w:rPr>
          <w:lang w:val="ru-RU"/>
        </w:rPr>
      </w:r>
    </w:p>
    <w:p>
      <w:pPr>
        <w:jc w:val="left"/>
        <w:spacing w:before="0"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lang w:val="ru-RU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Список изменяющих документов</w:t>
            </w:r>
            <w:r>
              <w:rPr>
                <w:lang w:val="ru-RU"/>
              </w:rPr>
            </w:r>
          </w:p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(в ред. </w:t>
            </w:r>
            <w:hyperlink r:id="rId15" w:tooltip="https://login.consultant.ru/link/?req=doc&amp;base=RLAW926&amp;n=293218&amp;date=21.12.2023&amp;dst=100005&amp;field=13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  <w:lang w:val="ru-RU"/>
                </w:rPr>
                <w:t xml:space="preserve">решения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 Думы города Нижневартовска от 15.12.2023 N 361)</w:t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1. Выявление в Государственной информационной системе жилищно-коммунального хозяйства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/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/>
    </w:p>
    <w:p>
      <w:pPr>
        <w:pStyle w:val="739"/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</w:rPr>
      </w:r>
      <w:r/>
    </w:p>
    <w:sectPr>
      <w:headerReference w:type="default" r:id="rId8"/>
      <w:footerReference w:type="default" r:id="rId10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before="0" w:after="0" w:line="240" w:lineRule="auto"/>
      <w:rPr>
        <w:sz w:val="1"/>
      </w:rP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11"/>
      <w:gridCol w:w="4695"/>
    </w:tblGrid>
    <w:tr>
      <w:trPr>
        <w:trHeight w:val="1683" w:hRule="exact"/>
      </w:trPr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5511" w:type="dxa"/>
          <w:vAlign w:val="center"/>
          <w:textDirection w:val="lrTb"/>
          <w:noWrap w:val="false"/>
        </w:tcPr>
        <w:p>
          <w:r/>
          <w:r/>
        </w:p>
      </w:tc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4695" w:type="dxa"/>
          <w:vAlign w:val="center"/>
          <w:textDirection w:val="lrTb"/>
          <w:noWrap w:val="false"/>
        </w:tcPr>
        <w:p>
          <w:r/>
          <w:r/>
        </w:p>
      </w:tc>
    </w:tr>
  </w:tbl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center"/>
      <w:spacing w:before="0" w:after="0" w:line="240" w:lineRule="auto"/>
      <w:rPr>
        <w:sz w:val="10"/>
      </w:rPr>
    </w:pPr>
    <w:r>
      <w:rPr>
        <w:sz w:val="10"/>
      </w:rP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739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740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41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0"/>
    </w:rPr>
  </w:style>
  <w:style w:type="paragraph" w:styleId="742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43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744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0"/>
    </w:rPr>
  </w:style>
  <w:style w:type="paragraph" w:styleId="745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746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747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1108" w:default="1">
    <w:name w:val="Default Paragraph Font"/>
    <w:uiPriority w:val="1"/>
    <w:semiHidden/>
    <w:unhideWhenUsed/>
  </w:style>
  <w:style w:type="numbering" w:styleId="1109" w:default="1">
    <w:name w:val="No List"/>
    <w:uiPriority w:val="99"/>
    <w:semiHidden/>
    <w:unhideWhenUsed/>
  </w:style>
  <w:style w:type="table" w:styleId="11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926&amp;n=293218&amp;date=21.12.2023&amp;dst=100005&amp;field=134" TargetMode="External"/><Relationship Id="rId12" Type="http://schemas.openxmlformats.org/officeDocument/2006/relationships/hyperlink" Target="https://login.consultant.ru/link/?req=doc&amp;base=LAW&amp;n=460028&amp;date=21.12.2023&amp;dst=100273&amp;field=134" TargetMode="External"/><Relationship Id="rId13" Type="http://schemas.openxmlformats.org/officeDocument/2006/relationships/hyperlink" Target="https://login.consultant.ru/link/?req=doc&amp;base=LAW&amp;n=464183&amp;date=21.12.2023&amp;dst=1032&amp;field=134" TargetMode="External"/><Relationship Id="rId14" Type="http://schemas.openxmlformats.org/officeDocument/2006/relationships/hyperlink" Target="https://login.consultant.ru/link/?req=doc&amp;base=RLAW926&amp;n=281839&amp;date=21.12.2023&amp;dst=101536&amp;field=134" TargetMode="External"/><Relationship Id="rId15" Type="http://schemas.openxmlformats.org/officeDocument/2006/relationships/hyperlink" Target="https://login.consultant.ru/link/?req=doc&amp;base=RLAW926&amp;n=293218&amp;date=21.12.2023&amp;dst=10000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25.03.2022 N 119(ред. от 15.12.2023)&amp;quot;О перечне индикаторов риска нарушения обязательных требований по муниципальному жилищному контролю на территории города Нижневартовска&amp;quot;</dc:title>
  <dc:creator/>
  <cp:revision>1</cp:revision>
  <dcterms:modified xsi:type="dcterms:W3CDTF">2023-12-21T04:33:00Z</dcterms:modified>
</cp:coreProperties>
</file>