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</w:t>
      </w:r>
      <w:r/>
    </w:p>
    <w:p>
      <w:pPr>
        <w:ind w:right="493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93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в постановление администрации города от 28.06.2019 №500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"Об утверждении Положения о порядке реализации мероприятий в сфере укрепления межнационального и межконфессионального согласия, профилактики экстремизма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и терроризма в городе Нижневартовске"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(с изменениями от 28.08.2019 №718, 17.07.2020 №621, 02.02.2021 №64</w:t>
      </w:r>
      <w:r>
        <w:rPr>
          <w:rFonts w:ascii="Times New Roman" w:hAnsi="Times New Roman"/>
          <w:sz w:val="24"/>
          <w:szCs w:val="28"/>
        </w:rPr>
        <w:t xml:space="preserve">, 14.01.2022 №7, 16.02.2022 №70, 16.08.2022 №576, 09.12.2022 №857</w:t>
      </w:r>
      <w:r>
        <w:rPr>
          <w:rFonts w:ascii="Times New Roman" w:hAnsi="Times New Roman"/>
          <w:sz w:val="24"/>
          <w:szCs w:val="28"/>
        </w:rPr>
        <w:t xml:space="preserve">)</w:t>
      </w:r>
      <w:r/>
    </w:p>
    <w:p>
      <w:pPr>
        <w:ind w:right="4932"/>
        <w:jc w:val="both"/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</w:r>
      <w:r>
        <w:rPr>
          <w:rFonts w:ascii="Times New Roman" w:hAnsi="Times New Roman"/>
          <w:sz w:val="28"/>
          <w:szCs w:val="32"/>
        </w:rPr>
      </w:r>
      <w:r/>
    </w:p>
    <w:p>
      <w:pPr>
        <w:ind w:right="4932"/>
        <w:jc w:val="both"/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</w:r>
      <w:r>
        <w:rPr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связи со структурными изменениями в администрации города, </w:t>
      </w:r>
      <w:r>
        <w:rPr>
          <w:rFonts w:ascii="Times New Roman" w:hAnsi="Times New Roman"/>
          <w:sz w:val="28"/>
          <w:szCs w:val="28"/>
          <w:highlight w:val="white"/>
        </w:rPr>
        <w:t xml:space="preserve">в целях приведения муниципального правового акта в соответствие с действующим законодательством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821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Внести изменения в постановление администрации города                        от 28.06.2019 №500 "Об утверждении Положения о порядке реализации мероприятий в сфере укрепления межнацион</w:t>
      </w:r>
      <w:r>
        <w:rPr>
          <w:rFonts w:ascii="Times New Roman" w:hAnsi="Times New Roman"/>
          <w:sz w:val="28"/>
          <w:szCs w:val="28"/>
          <w:highlight w:val="white"/>
        </w:rPr>
        <w:t xml:space="preserve">ального и межконфессионального согласия, профилактики экстремизма и терроризма в городе Нижневартовске" (с изменениями от 28.08.2019 №718, 17.07.2020 №621, 02.02.2021 №64, 14.01.2022 №7, 16.02.2022 №70, 16.08.2022 №576, 09.12.2022 №857):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 xml:space="preserve">В заголовке, преамбуле и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1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"</w:t>
      </w:r>
      <w:r>
        <w:rPr>
          <w:rFonts w:ascii="Times New Roman" w:hAnsi="Times New Roman"/>
          <w:color w:val="000000"/>
          <w:sz w:val="28"/>
          <w:szCs w:val="28"/>
        </w:rPr>
        <w:t xml:space="preserve">и терроризма</w:t>
      </w:r>
      <w:r>
        <w:rPr>
          <w:rFonts w:ascii="Times New Roman" w:hAnsi="Times New Roman"/>
          <w:color w:val="000000"/>
          <w:sz w:val="28"/>
          <w:szCs w:val="28"/>
        </w:rPr>
        <w:t xml:space="preserve">" исключить.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 пункте 4 слова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Н.В. Лукаша"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О.Н. Хотинецкого"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1.3. Приложение изложить в новой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</w:t>
      </w:r>
      <w:r>
        <w:rPr>
          <w:rFonts w:ascii="Times New Roman" w:hAnsi="Times New Roman"/>
          <w:sz w:val="28"/>
          <w:szCs w:val="28"/>
        </w:rPr>
        <w:t xml:space="preserve">и молодежной политики администрации </w:t>
      </w:r>
      <w:r>
        <w:rPr>
          <w:rFonts w:ascii="Times New Roman" w:hAnsi="Times New Roman"/>
          <w:sz w:val="28"/>
          <w:szCs w:val="28"/>
        </w:rPr>
        <w:t xml:space="preserve">города (</w:t>
      </w:r>
      <w:r>
        <w:rPr>
          <w:rFonts w:ascii="Times New Roman" w:hAnsi="Times New Roman"/>
          <w:sz w:val="28"/>
          <w:szCs w:val="28"/>
        </w:rPr>
        <w:t xml:space="preserve">О.В. Котова</w:t>
      </w:r>
      <w:r>
        <w:rPr>
          <w:rFonts w:ascii="Times New Roman" w:hAnsi="Times New Roman"/>
          <w:sz w:val="28"/>
          <w:szCs w:val="28"/>
        </w:rPr>
        <w:t xml:space="preserve">) обеспечить официальное опубликование постановления.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 w:val="0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 w:val="0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Д.А. Кощенко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664"/>
        <w:jc w:val="left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5664"/>
        <w:jc w:val="lef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/>
    </w:p>
    <w:p>
      <w:pPr>
        <w:ind w:left="5664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ind w:left="5664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________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о порядке реализации мероприятий в сфере укрепления</w:t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межнационального и межконфессионального согласия, профилактики экстремизма в городе Нижневартовске</w:t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1.1. Положение о порядке реализации мероприятий в сфере укрепления межнационального и межконфессионального согласия, профилактики экстремизма в городе Нижневартовске регламентирует механизм реализации мероприятий и направления расходования сред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ств бюджета города Нижневартовска в пределах объема бюджетных ассигнований, предусмотренных на реализацию мероприятий муниципальной программы "Укрепление межнационального и межконфессионального согласия, профилактика экстремизма в городе Нижнев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артовске" (далее - муниципальная программа), утвержденной постановлением администрации города от 14.12.2018 №1436.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1.2. Ответственным исполнителем по контролю за выполнением основных мероприятий муниципальной программы в сфере укрепления межнационального и межконфессионального согласия, профилактики экстремизма в городе Нижневартовске, а также по обеспечени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ю координации деятельности соисполнителей муниципальной программы является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епартамент общественных коммуникаций и молодежной политики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администрации города.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II. Механизм реализации мероприятий в сфере укрепления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межнационального и межконфессионального согласия,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профилактики экстремизма в городе Нижневартовске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.1. Основные мероприятия задачи 1 "Укрепление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ловий для обеспечения прав народов Российской Федерации в социально-культурной сфере" муниципальной программы реализуются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департаментом общественных коммуникаций и молодежной политики администрации города, в том числе совместно с муниципальным автономным учр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еждением города Нижневартовска "Молодежный центр",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департаментом по социальной политике администрации города совместно с муниципальными учреждениями в сфере культуры, физической культур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и спорта, департаментом образования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администрации города совместно с муниципальными организациями в сфере образования,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муниципальным казенным учреждением "Управление материально-технического обеспечения деятельности органов местного самоуп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равления города Нижневартовска" (далее - МКУ "УМТО")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2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.2. Основные мероприятия задачи 2 "Развитие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патриотизма" муниципальной программы реализуются департаментом по социально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й политике администрации города совместно с муниципальными учреждениями в сфере культуры, физической культуры и спорта, департаментом образования администрации города совместно с муниципальными организациями в сфере образования.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82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.3. Основные мероприятия задачи 3 "Содействие социокультурной интеграции и адаптации мигрантов" муниципальной программы реализуются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департаментом общественных коммуникаций и молодежной политики администрации города,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департаментом по социальной политике администрации города, в том числе совместно с муниципальными учреждениями в сфере культ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уры, департаментом образования администрации города совместно с муниципальными организациями в сфере образования.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82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.4. Основные мероприятия задачи 4 "Развитие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Нижневартовска" муниципальной программы реализу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тся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департаментом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бщественных коммуникаций и молодежной политики администрации города, в том числе совместно с муниципальным автономным учреждением города Нижневартовска "Молодежный центр",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департаментом по социальной политике администрации города, в том числе совместно с муниципальными учреждениями в сфере культуры, департаментом образования администрации города совместно с муниципальными организациями в сфере образования,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управлением по вопросам законности, правопорядка и безопасности администрации города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МКУ "УМТО".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2.5. </w:t>
      </w:r>
      <w:r>
        <w:rPr>
          <w:rFonts w:ascii="Times New Roman" w:hAnsi="Times New Roman"/>
          <w:sz w:val="28"/>
          <w:szCs w:val="28"/>
        </w:rPr>
        <w:t xml:space="preserve">Департамент общественных коммуникаций </w:t>
      </w:r>
      <w:r>
        <w:rPr>
          <w:rFonts w:ascii="Times New Roman" w:hAnsi="Times New Roman"/>
          <w:sz w:val="28"/>
          <w:szCs w:val="28"/>
        </w:rPr>
        <w:t xml:space="preserve">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 том числе совместно с </w:t>
      </w:r>
      <w:r>
        <w:rPr>
          <w:rFonts w:ascii="Times New Roman" w:hAnsi="Times New Roman"/>
          <w:sz w:val="28"/>
          <w:szCs w:val="28"/>
        </w:rPr>
        <w:t xml:space="preserve">муниципальным автономным учреждением города Нижневартовска "Молодежный центр"</w:t>
      </w:r>
      <w:r>
        <w:rPr>
          <w:rFonts w:ascii="Times New Roman" w:hAnsi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средствами массовой 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организует работу: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 проведению обучающих семинаров, конференций, "круглых столов", тренингов для специалистов администрации города и муниципальных учреждений по обучению принципам, методам, формам работы в сфере профилактики </w:t>
      </w:r>
      <w:r>
        <w:rPr>
          <w:rFonts w:ascii="Times New Roman" w:hAnsi="Times New Roman"/>
          <w:color w:val="000000"/>
          <w:sz w:val="28"/>
          <w:szCs w:val="28"/>
        </w:rPr>
        <w:t xml:space="preserve">экстремизма;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 проведению конкурсов среди населения, направленных                          на укрепление межнационального и межконфессионального согласия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профилактику экстремизма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 профилактике национального и религиозного экстремизма в форме лекций, семинаров, бесед, конференций, "круглых столов" для населения города;</w:t>
      </w:r>
      <w:r/>
    </w:p>
    <w:p>
      <w:pPr>
        <w:pStyle w:val="82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 изготовлению и размещению социальной рекламы на рекламных конструкциях и рекламно-информационных щитах в лифтах жилых домов, </w:t>
      </w:r>
      <w:r>
        <w:rPr>
          <w:rFonts w:ascii="Times New Roman" w:hAnsi="Times New Roman"/>
          <w:color w:val="000000"/>
          <w:sz w:val="28"/>
          <w:szCs w:val="28"/>
        </w:rPr>
        <w:t xml:space="preserve">изготовлению информационно-справочных материалов (памяток, буклетов, листовок, плакатов, брошюр, книг, наклеек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др.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по освещению вопросов гармонизации межэтнических и межконфессиональных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информационному сопровождению профилактики </w:t>
      </w:r>
      <w:r>
        <w:rPr>
          <w:rFonts w:ascii="Times New Roman" w:hAnsi="Times New Roman"/>
          <w:sz w:val="28"/>
          <w:szCs w:val="28"/>
        </w:rPr>
        <w:t xml:space="preserve">экстремизма, правового информирования граждан, проводимого структурными подразделениями администрации города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профилактике </w:t>
      </w:r>
      <w:r>
        <w:rPr>
          <w:rFonts w:ascii="Times New Roman" w:hAnsi="Times New Roman"/>
          <w:sz w:val="28"/>
          <w:szCs w:val="28"/>
        </w:rPr>
        <w:t xml:space="preserve">экстремизма в форме лекций, семинаров, бесед, конференций, "круглых столов", конкурсов, встреч, собраний, викторин, фестивалей, праздников, акций, дискуссий, </w:t>
      </w:r>
      <w:r>
        <w:rPr>
          <w:rFonts w:ascii="Times New Roman" w:hAnsi="Times New Roman"/>
          <w:sz w:val="28"/>
          <w:szCs w:val="28"/>
        </w:rPr>
        <w:t xml:space="preserve">медиауроков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видеолекториев</w:t>
      </w:r>
      <w:r>
        <w:rPr>
          <w:rFonts w:ascii="Times New Roman" w:hAnsi="Times New Roman"/>
          <w:sz w:val="28"/>
          <w:szCs w:val="28"/>
        </w:rPr>
        <w:t xml:space="preserve">, мероприятий, посвященных памятным и праздничным датам</w:t>
      </w:r>
      <w:r>
        <w:rPr>
          <w:rFonts w:ascii="Times New Roman" w:hAnsi="Times New Roman"/>
          <w:sz w:val="28"/>
          <w:szCs w:val="28"/>
        </w:rPr>
        <w:t xml:space="preserve">, и других мероприятий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Расходование средств осуществляется на следующие цели: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приобретение канцелярских товаров, инвентаря, хозяйственных товаров, сувенирной продукции;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привлечение специалистов для организации и проведения мероприятий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художес</w:t>
      </w:r>
      <w:r>
        <w:rPr>
          <w:rFonts w:ascii="Times New Roman" w:hAnsi="Times New Roman"/>
          <w:sz w:val="28"/>
          <w:szCs w:val="28"/>
        </w:rPr>
        <w:t xml:space="preserve">твенное оформление мероприятий.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trike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Расходование средств на проведение мероприятий осуществляется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Федеральным законом №44-ФЗ 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/>
          <w:sz w:val="28"/>
          <w:szCs w:val="28"/>
          <w:highlight w:val="white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 - Федеральный закон </w:t>
      </w:r>
      <w:r>
        <w:rPr>
          <w:rFonts w:ascii="Times New Roman" w:hAnsi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</w:rPr>
        <w:t xml:space="preserve">44-ФЗ)</w:t>
      </w:r>
      <w:r>
        <w:rPr>
          <w:rFonts w:ascii="Times New Roman" w:hAnsi="Times New Roman"/>
          <w:sz w:val="28"/>
          <w:szCs w:val="28"/>
          <w:highlight w:val="white"/>
        </w:rPr>
        <w:t xml:space="preserve">, Федеральным законом </w:t>
      </w:r>
      <w:r>
        <w:rPr>
          <w:rFonts w:ascii="Times New Roman" w:hAnsi="Times New Roman"/>
          <w:sz w:val="28"/>
          <w:szCs w:val="28"/>
          <w:highlight w:val="white"/>
        </w:rPr>
        <w:t xml:space="preserve">от 18.07.2011 №223-ФЗ "О закупках товаров, работ, услуг отдельными видами юридических лиц" (далее - Федеральный закон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№</w:t>
      </w:r>
      <w:r>
        <w:rPr>
          <w:rFonts w:ascii="Times New Roman" w:hAnsi="Times New Roman"/>
          <w:sz w:val="28"/>
          <w:szCs w:val="28"/>
          <w:highlight w:val="white"/>
        </w:rPr>
        <w:t xml:space="preserve">223-ФЗ)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2.6.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Управление по вопросам законности, правопорядка и безопасности администрации города организует работу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 подготовке и проведению конкурса "Лучший киберволонтер".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2.7. Департаментом образования администрации города совместно с муниципальными организациями в сфере образования организуется работа в молодежной среде, направленная на гармонизацию межэтнических и межкультурных отношений, профилактику проявления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экстремистской деятельности, путем проведения фестивалей, конкурсов, акций, соревнований, мероприятий, посвященных памятным и праздничным датам.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Расходование средств осуществляется на следующие цели: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приобретение канцелярских товаров, инвентаря;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привлечение специалистов для организации и проведения мероприятий;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художественное оформление мероприятий;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изготовление плакатов по противодействию экстремизму.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Расходование средств на проведение мероприятий осуществляется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Федеральными законами №44-ФЗ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№223-ФЗ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trike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2.8. Департаментом по социальной политике администрации города, в том числе совместно с муниципальными учреждениями в сфере культуры, физической культуры и спорта: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проводится работа по профилактике экстремизма в форме лекций, семинаров, бесед, конференций, "круглых столов", конкурсов, встреч, собраний, викторин, фестивалей, праздников, акций, литературно-музыкальных гостиных, дискуссий, медиауроков, вид</w:t>
      </w:r>
      <w:r>
        <w:rPr>
          <w:rFonts w:ascii="Times New Roman" w:hAnsi="Times New Roman"/>
          <w:sz w:val="28"/>
          <w:szCs w:val="28"/>
          <w:highlight w:val="none"/>
        </w:rPr>
        <w:t xml:space="preserve">еолекториев, выставок, спортивных соревнований, мероприятий, посвященных памятным и праздничным датам, мероприятий по языковой и культурной адаптации мигрантов и детей-мигрантов и др.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Расходование средств осуществляется на следующие цели: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приобретение канцелярских товаров, инвентаря, хозяйственных товаров, сувенирной продукции;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привлечение специалистов для организации и проведения мероприятий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приобретение сценических костюмов и атрибутов;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художественное оформление мероприятий.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Расходование средств на проведение мероприятий осуществляется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Федеральными законами №44-ФЗ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№223-ФЗ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trike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2.9. МКУ "УМТО" организует работу по информационно-пропагандистскому сопровождению профилактики экстремизма.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</w:rPr>
        <w:t xml:space="preserve">асходование средств осуществляется на изготовление и размещение социальной рекламы, памяток, буклетов, листовок, плакатов, брошюр, баннеров, поощрение участников проводимых мероприятий (приобретение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подарочных сертификатов, медалей, грамот, дипломов, цвето</w:t>
      </w:r>
      <w:r>
        <w:rPr>
          <w:rFonts w:ascii="Times New Roman" w:hAnsi="Times New Roman"/>
          <w:sz w:val="28"/>
          <w:szCs w:val="28"/>
          <w:highlight w:val="white"/>
        </w:rPr>
        <w:t xml:space="preserve">в).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Расходование средств на проведение мероприятия осуществляется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Федеральным законом №44-ФЗ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trike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I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I. Условия финансирования мероприятий в сфере укрепления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межнационального и межконфессионального согласия,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/>
          <w:b/>
          <w:bCs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профилактики экстремизма в городе Нижневартовске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3.1. Объем средств бюджета города Нижневартовска, направленных на реализацию мероприятий в сфере укрепления межнационального и межконфессионального согласия, профилактики экстремизма в городе Нижневартовске, определяется на соответствующий очер</w:t>
      </w:r>
      <w:r>
        <w:rPr>
          <w:rFonts w:ascii="Times New Roman" w:hAnsi="Times New Roman"/>
          <w:sz w:val="28"/>
          <w:szCs w:val="28"/>
          <w:highlight w:val="none"/>
        </w:rPr>
        <w:t xml:space="preserve">едной финансовый год (на соответствующий очередной финансовый год и на плановый период) в рамках муниципальной программы исходя из возможностей бюджета города Нижневартовска.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3.2. Соисполнители муниципальной программы (</w:t>
      </w:r>
      <w:r>
        <w:rPr>
          <w:rFonts w:ascii="Times New Roman" w:hAnsi="Times New Roman"/>
          <w:sz w:val="28"/>
          <w:szCs w:val="28"/>
          <w:highlight w:val="none"/>
        </w:rPr>
        <w:t xml:space="preserve">управление по вопросам законности, правопор</w:t>
      </w:r>
      <w:r>
        <w:rPr>
          <w:rFonts w:ascii="Times New Roman" w:hAnsi="Times New Roman"/>
          <w:sz w:val="28"/>
          <w:szCs w:val="28"/>
          <w:highlight w:val="none"/>
        </w:rPr>
        <w:t xml:space="preserve">ядка и безопасности администрации города, </w:t>
      </w:r>
      <w:r>
        <w:rPr>
          <w:rFonts w:ascii="Times New Roman" w:hAnsi="Times New Roman"/>
          <w:sz w:val="28"/>
          <w:szCs w:val="28"/>
          <w:highlight w:val="none"/>
        </w:rPr>
        <w:t xml:space="preserve">департамент по социальной политике администрации города, департамент образования администрации города,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МКУ "УМТО") ежеквартально, в срок до 10 числа месяца, следующего за отчетным, представляют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епартамент общественных коммуникаций и молодежной политики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финансовый отчет об использовании средств бюджета города Нижневартовска и информационно-аналитическую справку о реализации мероприятий.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3.3. В случае нецелевого использования денежных средств соисполнители муниципальной программы несут ответственность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r/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9" w:hanging="5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7"/>
    <w:next w:val="817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8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7"/>
    <w:next w:val="817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8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8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8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8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8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8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7"/>
    <w:next w:val="817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8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7"/>
    <w:next w:val="817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8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7"/>
    <w:next w:val="817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8"/>
    <w:link w:val="659"/>
    <w:uiPriority w:val="10"/>
    <w:rPr>
      <w:sz w:val="48"/>
      <w:szCs w:val="48"/>
    </w:rPr>
  </w:style>
  <w:style w:type="paragraph" w:styleId="661">
    <w:name w:val="Subtitle"/>
    <w:basedOn w:val="817"/>
    <w:next w:val="817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8"/>
    <w:link w:val="661"/>
    <w:uiPriority w:val="11"/>
    <w:rPr>
      <w:sz w:val="24"/>
      <w:szCs w:val="24"/>
    </w:rPr>
  </w:style>
  <w:style w:type="paragraph" w:styleId="663">
    <w:name w:val="Quote"/>
    <w:basedOn w:val="817"/>
    <w:next w:val="817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7"/>
    <w:next w:val="817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7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8"/>
    <w:link w:val="667"/>
    <w:uiPriority w:val="99"/>
  </w:style>
  <w:style w:type="paragraph" w:styleId="669">
    <w:name w:val="Footer"/>
    <w:basedOn w:val="817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8"/>
    <w:link w:val="669"/>
    <w:uiPriority w:val="99"/>
  </w:style>
  <w:style w:type="paragraph" w:styleId="671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3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4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5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6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7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8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pPr>
      <w:spacing w:after="160" w:line="259" w:lineRule="auto"/>
    </w:pPr>
    <w:rPr>
      <w:rFonts w:ascii="Calibri" w:hAnsi="Calibri" w:cs="Times New Roman" w:eastAsia="Calibri"/>
      <w:sz w:val="22"/>
      <w:szCs w:val="22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List Paragraph"/>
    <w:basedOn w:val="817"/>
    <w:uiPriority w:val="34"/>
    <w:qFormat/>
    <w:pPr>
      <w:contextualSpacing/>
      <w:ind w:left="720"/>
    </w:pPr>
  </w:style>
  <w:style w:type="paragraph" w:styleId="822">
    <w:name w:val="HTML Preformatted"/>
    <w:basedOn w:val="817"/>
    <w:link w:val="823"/>
    <w:uiPriority w:val="99"/>
    <w:unhideWhenUsed/>
    <w:rPr>
      <w:rFonts w:ascii="Courier New" w:hAnsi="Courier New" w:cs="Courier New"/>
      <w:sz w:val="20"/>
      <w:szCs w:val="20"/>
    </w:rPr>
  </w:style>
  <w:style w:type="character" w:styleId="823" w:customStyle="1">
    <w:name w:val="Стандартный HTML Знак"/>
    <w:basedOn w:val="818"/>
    <w:link w:val="822"/>
    <w:uiPriority w:val="99"/>
    <w:rPr>
      <w:rFonts w:ascii="Courier New" w:hAnsi="Courier New" w:cs="Courier New" w:eastAsia="Calibri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Брызгунова</dc:creator>
  <cp:keywords/>
  <dc:description/>
  <cp:revision>14</cp:revision>
  <dcterms:created xsi:type="dcterms:W3CDTF">2023-02-03T10:22:00Z</dcterms:created>
  <dcterms:modified xsi:type="dcterms:W3CDTF">2023-05-30T04:44:17Z</dcterms:modified>
</cp:coreProperties>
</file>