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>В апреле 2015 года состоялось заседание комиссии по определению стажа муниц</w:t>
      </w:r>
      <w:r>
        <w:t>и</w:t>
      </w:r>
      <w:r>
        <w:t>пальной службы муниципального служащего для установления ежемесячной надбавки за выслугу лет</w:t>
      </w:r>
      <w:proofErr w:type="gramStart"/>
      <w:r>
        <w:t>.</w:t>
      </w:r>
      <w:proofErr w:type="gramEnd"/>
      <w:r>
        <w:t xml:space="preserve"> На комиссии рассмотрено одно заявление, по которому было принято положительное решение по включению иных периодов работы в стаж муниципальной службы. </w:t>
      </w:r>
    </w:p>
    <w:p w:rsidR="00E04966" w:rsidRDefault="00E04966">
      <w:bookmarkStart w:id="0" w:name="_GoBack"/>
      <w:bookmarkEnd w:id="0"/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4F7B70"/>
    <w:rsid w:val="00E0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1</cp:revision>
  <dcterms:created xsi:type="dcterms:W3CDTF">2015-05-07T11:23:00Z</dcterms:created>
  <dcterms:modified xsi:type="dcterms:W3CDTF">2015-05-07T11:34:00Z</dcterms:modified>
</cp:coreProperties>
</file>