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</w:t>
      </w:r>
      <w:r>
        <w:rPr>
          <w:b/>
          <w:sz w:val="28"/>
          <w:szCs w:val="28"/>
        </w:rPr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№40 "Золотая рыбка"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56"/>
      </w:pPr>
      <w:r>
        <w:rPr>
          <w:sz w:val="28"/>
          <w:szCs w:val="28"/>
        </w:rPr>
        <w:t xml:space="preserve">Исполняющий</w:t>
      </w:r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                           </w:t>
      </w:r>
      <w:r>
        <w:rPr>
          <w:sz w:val="28"/>
          <w:szCs w:val="28"/>
        </w:rPr>
        <w:t xml:space="preserve">Е.А. Лещук</w:t>
      </w:r>
      <w:r/>
      <w:r/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11</cp:revision>
  <dcterms:created xsi:type="dcterms:W3CDTF">2025-06-10T05:07:00Z</dcterms:created>
  <dcterms:modified xsi:type="dcterms:W3CDTF">2025-08-25T12:32:44Z</dcterms:modified>
</cp:coreProperties>
</file>