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-227" w:firstLine="68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Вопрос 3. Рассмотрение предварительного перечня объектов, в отношении которых планируется заключение концессионных соглашений</w:t>
      </w:r>
    </w:p>
    <w:p>
      <w:pPr>
        <w:pStyle w:val="Normal"/>
        <w:widowControl/>
        <w:bidi w:val="0"/>
        <w:spacing w:lineRule="auto" w:line="240" w:before="0" w:after="0"/>
        <w:ind w:left="0" w:right="-227"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-227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аше</w:t>
      </w:r>
      <w:r>
        <w:rPr>
          <w:rFonts w:cs="Times New Roman" w:ascii="Times New Roman" w:hAnsi="Times New Roman"/>
          <w:sz w:val="28"/>
          <w:szCs w:val="28"/>
        </w:rPr>
        <w:t>му вниманию на</w:t>
      </w:r>
      <w:r>
        <w:rPr>
          <w:rFonts w:cs="Times New Roman" w:ascii="Times New Roman" w:hAnsi="Times New Roman"/>
          <w:sz w:val="28"/>
          <w:szCs w:val="28"/>
        </w:rPr>
        <w:t xml:space="preserve"> согласование представлен предварительный перечень объектов,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отношении которых планируется заключение концессионных соглашений в 2022 году.</w:t>
      </w:r>
    </w:p>
    <w:p>
      <w:pPr>
        <w:pStyle w:val="Normal"/>
        <w:widowControl/>
        <w:bidi w:val="0"/>
        <w:spacing w:lineRule="atLeast" w:line="280" w:before="0" w:after="1"/>
        <w:ind w:left="0" w:right="-227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>закон</w:t>
      </w:r>
      <w:r>
        <w:rPr>
          <w:rFonts w:cs="Times New Roman" w:ascii="Times New Roman" w:hAnsi="Times New Roman"/>
          <w:sz w:val="28"/>
          <w:szCs w:val="28"/>
        </w:rPr>
        <w:t xml:space="preserve">ом </w:t>
      </w:r>
      <w:r>
        <w:rPr>
          <w:rFonts w:cs="Times New Roman" w:ascii="Times New Roman" w:hAnsi="Times New Roman"/>
          <w:sz w:val="28"/>
          <w:szCs w:val="28"/>
        </w:rPr>
        <w:t xml:space="preserve">о концессионных </w:t>
      </w:r>
      <w:r>
        <w:rPr>
          <w:rFonts w:cs="Times New Roman" w:ascii="Times New Roman" w:hAnsi="Times New Roman"/>
          <w:sz w:val="28"/>
          <w:szCs w:val="28"/>
        </w:rPr>
        <w:t xml:space="preserve">соглашениях </w:t>
      </w:r>
      <w:r>
        <w:rPr>
          <w:rFonts w:cs="Times New Roman" w:ascii="Times New Roman" w:hAnsi="Times New Roman"/>
          <w:sz w:val="28"/>
          <w:szCs w:val="28"/>
        </w:rPr>
        <w:t>(№115-ФЗ)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данный перечень должен быть утвержден</w:t>
      </w:r>
      <w:r>
        <w:rPr>
          <w:rFonts w:cs="Times New Roman" w:ascii="Times New Roman" w:hAnsi="Times New Roman"/>
          <w:sz w:val="28"/>
          <w:szCs w:val="28"/>
        </w:rPr>
        <w:t xml:space="preserve"> орган</w:t>
      </w:r>
      <w:r>
        <w:rPr>
          <w:rFonts w:cs="Times New Roman" w:ascii="Times New Roman" w:hAnsi="Times New Roman"/>
          <w:sz w:val="28"/>
          <w:szCs w:val="28"/>
        </w:rPr>
        <w:t>ами</w:t>
      </w:r>
      <w:r>
        <w:rPr>
          <w:rFonts w:cs="Times New Roman" w:ascii="Times New Roman" w:hAnsi="Times New Roman"/>
          <w:sz w:val="28"/>
          <w:szCs w:val="28"/>
        </w:rPr>
        <w:t xml:space="preserve"> местного самоуправления до 1 февраля календарного года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размещен на официальном сайте </w:t>
      </w:r>
      <w:r>
        <w:rPr>
          <w:rFonts w:cs="Times New Roman" w:ascii="Times New Roman" w:hAnsi="Times New Roman"/>
          <w:sz w:val="28"/>
          <w:szCs w:val="28"/>
        </w:rPr>
        <w:t>органов местного самоуправления и сайте торгов.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tLeast" w:line="280" w:before="0" w:after="1"/>
        <w:ind w:left="0" w:right="-227" w:firstLine="68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перечень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включаются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объекты, предусмотрен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ы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статьей 4 указанного Федерального закона,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имеющие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высокую степень готовности к реализации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(в том числе наличие земельного участка, подъездных путей, инженерных сетей), представляющие социальную значимость для города.</w:t>
      </w:r>
    </w:p>
    <w:p>
      <w:pPr>
        <w:pStyle w:val="Normal"/>
        <w:widowControl/>
        <w:bidi w:val="0"/>
        <w:spacing w:lineRule="atLeast" w:line="280" w:before="0" w:after="1"/>
        <w:ind w:left="0" w:right="-227" w:firstLine="68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 сегодняшний день, в перечень включено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объектов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-227" w:firstLine="737"/>
        <w:jc w:val="both"/>
        <w:rPr/>
      </w:pP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1. О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 xml:space="preserve">бщеобразовательная школа на 1125 учащихся в 10В микрорайоне, 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объем капитальных затрат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 xml:space="preserve"> </w:t>
      </w:r>
      <w:r>
        <w:rPr>
          <w:rFonts w:eastAsia="Calibri" w:cs="" w:ascii="Tinos" w:hAnsi="Tinos" w:eastAsiaTheme="minorHAnsi"/>
          <w:b w:val="false"/>
          <w:bCs w:val="false"/>
          <w:iCs/>
          <w:color w:val="000000"/>
          <w:kern w:val="0"/>
          <w:sz w:val="28"/>
          <w:szCs w:val="28"/>
          <w:shd w:fill="auto" w:val="clear"/>
          <w:lang w:val="ru-RU" w:eastAsia="en-US" w:bidi="ar-SA"/>
        </w:rPr>
        <w:t>1,5 млрд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. руб.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 xml:space="preserve"> 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(</w:t>
      </w:r>
      <w:r>
        <w:rPr>
          <w:rFonts w:eastAsia="Calibri" w:cs="" w:ascii="Tinos" w:hAnsi="Tinos" w:eastAsiaTheme="minorHAns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en-US" w:bidi="ar-SA"/>
        </w:rPr>
        <w:t>многочисленные обращения граждан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)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-227" w:firstLine="737"/>
        <w:jc w:val="both"/>
        <w:rPr/>
      </w:pP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2. О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 xml:space="preserve">бщеобразовательная школа на 1125 учащихся в </w:t>
      </w:r>
      <w:r>
        <w:rPr>
          <w:rFonts w:eastAsia="Calibri" w:cs="Times New Roman" w:ascii="Tinos" w:hAnsi="Tinos" w:eastAsiaTheme="minorHAnsi"/>
          <w:b w:val="false"/>
          <w:bCs w:val="false"/>
          <w:iCs/>
          <w:color w:val="000000"/>
          <w:kern w:val="0"/>
          <w:sz w:val="28"/>
          <w:szCs w:val="28"/>
          <w:shd w:fill="auto" w:val="clear"/>
          <w:lang w:val="ru-RU" w:eastAsia="en-US" w:bidi="ar-SA"/>
        </w:rPr>
        <w:t>9А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 xml:space="preserve"> микрорайоне -     </w:t>
      </w:r>
      <w:r>
        <w:rPr>
          <w:rFonts w:eastAsia="Calibri" w:cs="" w:ascii="Tinos" w:hAnsi="Tinos" w:eastAsiaTheme="minorHAnsi"/>
          <w:b w:val="false"/>
          <w:bCs w:val="false"/>
          <w:iCs/>
          <w:color w:val="000000"/>
          <w:kern w:val="0"/>
          <w:sz w:val="28"/>
          <w:szCs w:val="28"/>
          <w:shd w:fill="auto" w:val="clear"/>
          <w:lang w:val="ru-RU" w:eastAsia="en-US" w:bidi="ar-SA"/>
        </w:rPr>
        <w:t>1,5 млрд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 xml:space="preserve"> руб. 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(</w:t>
      </w:r>
      <w:r>
        <w:rPr>
          <w:rFonts w:eastAsia="Calibri" w:ascii="Tinos" w:hAnsi="Tinos" w:eastAsiaTheme="minorHAnsi"/>
          <w:b w:val="false"/>
          <w:bCs w:val="false"/>
          <w:i/>
          <w:iCs/>
          <w:sz w:val="28"/>
          <w:szCs w:val="28"/>
          <w:shd w:fill="auto" w:val="clear"/>
        </w:rPr>
        <w:t>получено согласие потенциального инвестора, после завершения судебных разбирательств будет возобновлена процедура заключения концессионного соглашения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).</w:t>
      </w:r>
    </w:p>
    <w:p>
      <w:pPr>
        <w:pStyle w:val="Normal"/>
        <w:widowControl/>
        <w:bidi w:val="0"/>
        <w:spacing w:lineRule="auto" w:line="259" w:before="0" w:after="0"/>
        <w:ind w:left="0" w:right="-340" w:firstLine="737"/>
        <w:jc w:val="both"/>
        <w:rPr>
          <w:shd w:fill="auto" w:val="clear"/>
        </w:rPr>
      </w:pP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3. Г</w:t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 xml:space="preserve">ородской Парк Победы, планируемый объем инвестиций 414 млн. руб. </w:t>
      </w:r>
    </w:p>
    <w:p>
      <w:pPr>
        <w:pStyle w:val="Normal"/>
        <w:widowControl/>
        <w:bidi w:val="0"/>
        <w:spacing w:lineRule="auto" w:line="259" w:before="0" w:after="0"/>
        <w:ind w:left="0" w:right="-283" w:firstLine="737"/>
        <w:jc w:val="both"/>
        <w:rPr>
          <w:shd w:fill="auto" w:val="clear"/>
        </w:rPr>
      </w:pPr>
      <w:r>
        <w:rPr>
          <w:rFonts w:eastAsia="Calibri" w:cs="Times New Roman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4. О</w:t>
      </w:r>
      <w:r>
        <w:rPr>
          <w:rFonts w:eastAsia="Calibri" w:cs="Times New Roman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 xml:space="preserve">бъекты освещения города — </w:t>
      </w:r>
      <w:r>
        <w:rPr>
          <w:rFonts w:eastAsia="Calibri" w:cs="Times New Roman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2,4</w:t>
      </w:r>
      <w:r>
        <w:rPr>
          <w:rFonts w:eastAsia="Calibri" w:cs="Times New Roman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 xml:space="preserve"> мл</w:t>
      </w:r>
      <w:r>
        <w:rPr>
          <w:rFonts w:eastAsia="Calibri" w:cs="Times New Roman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рд</w:t>
      </w:r>
      <w:r>
        <w:rPr>
          <w:rFonts w:eastAsia="Calibri" w:cs="Times New Roman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 xml:space="preserve">. руб. </w:t>
      </w:r>
    </w:p>
    <w:p>
      <w:pPr>
        <w:pStyle w:val="Normal"/>
        <w:widowControl/>
        <w:bidi w:val="0"/>
        <w:spacing w:lineRule="auto" w:line="259" w:before="0" w:after="0"/>
        <w:ind w:left="0" w:right="-283" w:firstLine="737"/>
        <w:jc w:val="both"/>
        <w:rPr>
          <w:shd w:fill="auto" w:val="clear"/>
        </w:rPr>
      </w:pPr>
      <w:r>
        <w:rPr>
          <w:rFonts w:eastAsia="Calibri" w:cs="Times New Roman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П</w:t>
      </w:r>
      <w:r>
        <w:rPr>
          <w:rFonts w:eastAsia="Calibri" w:cs="Times New Roman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 xml:space="preserve">о данным объектам ведутся переговоры </w:t>
      </w:r>
      <w:r>
        <w:rPr>
          <w:rFonts w:eastAsia="Calibri" w:cs="Times New Roman" w:ascii="Tinos" w:hAnsi="Tinos" w:eastAsiaTheme="minorHAnsi"/>
          <w:b w:val="false"/>
          <w:bCs w:val="false"/>
          <w:i w:val="false"/>
          <w:iCs w:val="false"/>
          <w:sz w:val="28"/>
          <w:szCs w:val="28"/>
          <w:shd w:fill="auto" w:val="clear"/>
        </w:rPr>
        <w:t>с потенциальным</w:t>
      </w:r>
      <w:r>
        <w:rPr>
          <w:rFonts w:eastAsia="Calibri" w:cs="Times New Roman" w:ascii="Tinos" w:hAnsi="Tinos" w:eastAsiaTheme="minorHAnsi"/>
          <w:b w:val="false"/>
          <w:bCs w:val="false"/>
          <w:i w:val="false"/>
          <w:iCs w:val="false"/>
          <w:sz w:val="28"/>
          <w:szCs w:val="28"/>
          <w:shd w:fill="auto" w:val="clear"/>
        </w:rPr>
        <w:t>и</w:t>
      </w:r>
      <w:r>
        <w:rPr>
          <w:rFonts w:eastAsia="Calibri" w:cs="Times New Roman" w:ascii="Tinos" w:hAnsi="Tinos" w:eastAsiaTheme="minorHAnsi"/>
          <w:b w:val="false"/>
          <w:bCs w:val="false"/>
          <w:i w:val="false"/>
          <w:iCs w:val="false"/>
          <w:sz w:val="28"/>
          <w:szCs w:val="28"/>
          <w:shd w:fill="auto" w:val="clear"/>
        </w:rPr>
        <w:t xml:space="preserve"> инвестор</w:t>
      </w:r>
      <w:r>
        <w:rPr>
          <w:rFonts w:eastAsia="Calibri" w:cs="Times New Roman" w:ascii="Tinos" w:hAnsi="Tinos" w:eastAsiaTheme="minorHAnsi"/>
          <w:b w:val="false"/>
          <w:bCs w:val="false"/>
          <w:i w:val="false"/>
          <w:iCs w:val="false"/>
          <w:sz w:val="28"/>
          <w:szCs w:val="28"/>
          <w:shd w:fill="auto" w:val="clear"/>
        </w:rPr>
        <w:t>ами о заключении концессионных соглашений.</w:t>
      </w:r>
    </w:p>
    <w:p>
      <w:pPr>
        <w:pStyle w:val="Normal"/>
        <w:widowControl/>
        <w:bidi w:val="0"/>
        <w:spacing w:lineRule="auto" w:line="259" w:before="0" w:after="0"/>
        <w:ind w:left="0" w:right="-283" w:firstLine="737"/>
        <w:jc w:val="both"/>
        <w:rPr>
          <w:shd w:fill="auto" w:val="clear"/>
        </w:rPr>
      </w:pPr>
      <w:r>
        <w:rPr>
          <w:rFonts w:eastAsia="Calibri" w:cs="Times New Roman" w:ascii="Tinos" w:hAnsi="Tinos"/>
          <w:b w:val="false"/>
          <w:bCs w:val="false"/>
          <w:iCs/>
          <w:sz w:val="28"/>
          <w:szCs w:val="28"/>
          <w:shd w:fill="auto" w:val="clear"/>
        </w:rPr>
        <w:t xml:space="preserve">По </w:t>
      </w:r>
      <w:r>
        <w:rPr>
          <w:rFonts w:eastAsia="Calibri" w:cs="Times New Roman" w:ascii="Tinos" w:hAnsi="Tinos"/>
          <w:b w:val="false"/>
          <w:bCs w:val="false"/>
          <w:iCs/>
          <w:color w:val="000000"/>
          <w:kern w:val="0"/>
          <w:sz w:val="28"/>
          <w:szCs w:val="28"/>
          <w:shd w:fill="auto" w:val="clear"/>
          <w:lang w:val="ru-RU" w:eastAsia="en-US" w:bidi="ar-SA"/>
        </w:rPr>
        <w:t>5</w:t>
      </w:r>
      <w:r>
        <w:rPr>
          <w:rFonts w:eastAsia="Calibri" w:cs="Times New Roman" w:ascii="Tinos" w:hAnsi="Tinos"/>
          <w:b w:val="false"/>
          <w:bCs w:val="false"/>
          <w:iCs/>
          <w:sz w:val="28"/>
          <w:szCs w:val="28"/>
          <w:shd w:fill="auto" w:val="clear"/>
        </w:rPr>
        <w:t xml:space="preserve"> объекту перечня «М</w:t>
      </w:r>
      <w:r>
        <w:rPr>
          <w:rFonts w:eastAsia="Calibri" w:cs="Times New Roman" w:ascii="Tinos" w:hAnsi="Tinos"/>
          <w:b w:val="false"/>
          <w:bCs w:val="false"/>
          <w:iCs/>
          <w:sz w:val="28"/>
          <w:szCs w:val="28"/>
          <w:shd w:fill="auto" w:val="clear"/>
        </w:rPr>
        <w:t xml:space="preserve">ногофункциональный комплекс в 27 квартале г.Нижневартовска», </w:t>
      </w:r>
      <w:r>
        <w:rPr>
          <w:rFonts w:eastAsia="Calibri" w:cs="Times New Roman" w:ascii="Tinos" w:hAnsi="Tinos"/>
          <w:b w:val="false"/>
          <w:bCs w:val="false"/>
          <w:iCs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с </w:t>
      </w:r>
      <w:r>
        <w:rPr>
          <w:rFonts w:eastAsia="Calibri" w:cs="Times New Roman" w:ascii="Tinos" w:hAnsi="Tinos"/>
          <w:b w:val="false"/>
          <w:bCs w:val="false"/>
          <w:iCs/>
          <w:sz w:val="28"/>
          <w:szCs w:val="28"/>
          <w:shd w:fill="auto" w:val="clear"/>
        </w:rPr>
        <w:t>объем</w:t>
      </w:r>
      <w:r>
        <w:rPr>
          <w:rFonts w:eastAsia="Calibri" w:cs="Times New Roman" w:ascii="Tinos" w:hAnsi="Tinos"/>
          <w:b w:val="false"/>
          <w:bCs w:val="false"/>
          <w:iCs/>
          <w:sz w:val="28"/>
          <w:szCs w:val="28"/>
          <w:shd w:fill="auto" w:val="clear"/>
        </w:rPr>
        <w:t>ом</w:t>
      </w:r>
      <w:r>
        <w:rPr>
          <w:rFonts w:eastAsia="Calibri" w:cs="Times New Roman" w:ascii="Tinos" w:hAnsi="Tinos"/>
          <w:b w:val="false"/>
          <w:bCs w:val="false"/>
          <w:iCs/>
          <w:sz w:val="28"/>
          <w:szCs w:val="28"/>
          <w:shd w:fill="auto" w:val="clear"/>
        </w:rPr>
        <w:t xml:space="preserve"> инвестиций </w:t>
      </w:r>
      <w:r>
        <w:rPr>
          <w:rFonts w:eastAsia="Calibri" w:cs="Times New Roman" w:ascii="Tinos" w:hAnsi="Tinos"/>
          <w:b w:val="false"/>
          <w:bCs w:val="false"/>
          <w:iCs/>
          <w:sz w:val="28"/>
          <w:szCs w:val="28"/>
          <w:shd w:fill="auto" w:val="clear"/>
        </w:rPr>
        <w:t>1,6</w:t>
      </w:r>
      <w:r>
        <w:rPr>
          <w:rFonts w:eastAsia="Calibri" w:cs="Times New Roman" w:ascii="Tinos" w:hAnsi="Tinos"/>
          <w:b w:val="false"/>
          <w:bCs w:val="false"/>
          <w:iCs/>
          <w:sz w:val="28"/>
          <w:szCs w:val="28"/>
          <w:shd w:fill="auto" w:val="clear"/>
        </w:rPr>
        <w:t xml:space="preserve"> млрд. руб. </w:t>
      </w:r>
      <w:r>
        <w:rPr>
          <w:rFonts w:eastAsia="Calibri" w:cs="Times New Roman" w:ascii="Tinos" w:hAnsi="Tinos"/>
          <w:b w:val="false"/>
          <w:bCs w:val="false"/>
          <w:iCs/>
          <w:color w:val="000000"/>
          <w:kern w:val="0"/>
          <w:sz w:val="28"/>
          <w:szCs w:val="28"/>
          <w:shd w:fill="auto" w:val="clear"/>
          <w:lang w:val="ru-RU" w:eastAsia="en-US" w:bidi="ar-SA"/>
        </w:rPr>
        <w:t>планируется проведение конкурса на право заключения концессионного соглашения.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-227" w:hanging="0"/>
        <w:jc w:val="both"/>
        <w:rPr>
          <w:shd w:fill="auto" w:val="clear"/>
        </w:rPr>
      </w:pP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ab/>
      </w:r>
      <w:r>
        <w:rPr>
          <w:rFonts w:eastAsia="Calibri" w:ascii="Tinos" w:hAnsi="Tinos" w:eastAsiaTheme="minorHAnsi"/>
          <w:b w:val="false"/>
          <w:bCs w:val="false"/>
          <w:iCs/>
          <w:sz w:val="28"/>
          <w:szCs w:val="28"/>
          <w:shd w:fill="auto" w:val="clear"/>
        </w:rPr>
        <w:t>Обращаю внимание, 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еречень носит информационный характер,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инициатор может обратиться для заключения концессионного соглашения и по иным объектам.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-227" w:hanging="0"/>
        <w:jc w:val="both"/>
        <w:rPr>
          <w:shd w:fill="auto" w:val="clear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sz w:val="28"/>
          <w:szCs w:val="28"/>
          <w:shd w:fill="auto" w:val="clear"/>
        </w:rPr>
        <w:tab/>
      </w:r>
      <w:r>
        <w:rPr>
          <w:rFonts w:eastAsia="Calibri" w:cs="Times New Roman" w:ascii="Tinos" w:hAnsi="Tinos" w:eastAsiaTheme="minorHAnsi"/>
          <w:b w:val="false"/>
          <w:bCs w:val="false"/>
          <w:i w:val="false"/>
          <w:iCs w:val="false"/>
          <w:sz w:val="28"/>
          <w:szCs w:val="28"/>
          <w:shd w:fill="auto" w:val="clear"/>
        </w:rPr>
        <w:t xml:space="preserve">Предлагаю Инвестиционному совету </w:t>
      </w:r>
      <w:r>
        <w:rPr>
          <w:rFonts w:eastAsia="Calibri" w:cs="Times New Roman" w:ascii="Tinos" w:hAnsi="Tinos" w:eastAsia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согласовать</w:t>
      </w:r>
      <w:r>
        <w:rPr>
          <w:rFonts w:eastAsia="Calibri" w:cs="Times New Roman" w:ascii="Tinos" w:hAnsi="Tinos" w:eastAsia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 перечень для последующего утверждения главой города.</w:t>
      </w:r>
    </w:p>
    <w:p>
      <w:pPr>
        <w:pStyle w:val="Normal"/>
        <w:widowControl/>
        <w:bidi w:val="0"/>
        <w:spacing w:lineRule="atLeast" w:line="280" w:before="0" w:after="1"/>
        <w:ind w:left="0" w:right="-22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tLeast" w:line="280" w:before="0" w:after="1"/>
        <w:ind w:left="0" w:right="-22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tLeast" w:line="280" w:before="0" w:after="1"/>
        <w:ind w:left="0" w:right="-22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tLeast" w:line="280" w:before="0" w:after="1"/>
        <w:ind w:left="0" w:right="-22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tLeast" w:line="280" w:before="0" w:after="1"/>
        <w:ind w:left="0" w:right="-227" w:firstLine="68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tLeast" w:line="280" w:before="0" w:after="1"/>
        <w:ind w:firstLine="709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902a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902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096D-1BC4-4145-B5C2-B06A5728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Application>LibreOffice/7.0.6.2$Linux_X86_64 LibreOffice_project/00$Build-2</Application>
  <AppVersion>15.0000</AppVersion>
  <Pages>1</Pages>
  <Words>227</Words>
  <Characters>1657</Characters>
  <CharactersWithSpaces>1882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2018-11-05T06:52:00Z</dcterms:created>
  <dc:creator>Юшко Галина Сергеевна</dc:creator>
  <dc:description/>
  <dc:language>ru-RU</dc:language>
  <cp:lastModifiedBy/>
  <cp:lastPrinted>2021-12-15T17:00:51Z</cp:lastPrinted>
  <dcterms:modified xsi:type="dcterms:W3CDTF">2021-12-15T17:05:59Z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